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F4BD0" w:rsidRPr="003B53FD" w:rsidRDefault="00F854F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АКТИВНОСТИ И ПРОЦЕДУРЕ У ВЕЗИ СА ЗАШТИТОМ ЖИВОТНЕ СРЕДИНЕ У ОКВИРУ LIID ПРОЈЕКТА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br/>
      </w:r>
    </w:p>
    <w:p w14:paraId="00000002" w14:textId="6ADFE596" w:rsidR="00EF4BD0" w:rsidRDefault="00F854F0" w:rsidP="003B53FD">
      <w:pPr>
        <w:spacing w:before="120"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53F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1. </w:t>
      </w:r>
      <w:sdt>
        <w:sdtPr>
          <w:rPr>
            <w:b/>
            <w:bCs/>
          </w:rPr>
          <w:tag w:val="goog_rdk_0"/>
          <w:id w:val="1163510596"/>
        </w:sdtPr>
        <w:sdtEndPr/>
        <w:sdtContent>
          <w:r w:rsidRPr="003B53FD"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 xml:space="preserve">Укључивање елемената животне средине у процес консултација са грађанима </w:t>
          </w:r>
        </w:sdtContent>
      </w:sdt>
      <w:sdt>
        <w:sdtPr>
          <w:tag w:val="goog_rdk_1"/>
          <w:id w:val="1725024875"/>
          <w:showingPlcHdr/>
        </w:sdtPr>
        <w:sdtEndPr/>
        <w:sdtContent>
          <w:r w:rsidR="003B53FD">
            <w:t xml:space="preserve">     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tag w:val="goog_rdk_2"/>
          <w:id w:val="-1316483037"/>
        </w:sdtPr>
        <w:sdtEndPr/>
        <w:sdtContent>
          <w:sdt>
            <w:sdtPr>
              <w:tag w:val="goog_rdk_3"/>
              <w:id w:val="-858204899"/>
            </w:sdtPr>
            <w:sdtEndPr/>
            <w:sdtContent/>
          </w:sdt>
        </w:sdtContent>
      </w:sdt>
    </w:p>
    <w:p w14:paraId="00000003" w14:textId="32DACDDA" w:rsidR="00EF4BD0" w:rsidRDefault="00F854F0">
      <w:pPr>
        <w:spacing w:before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Јединица локалне самоуправе (ЈЛС) је у обавези да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обавести јавност о намери </w:t>
      </w:r>
      <w:sdt>
        <w:sdtPr>
          <w:tag w:val="goog_rdk_5"/>
          <w:id w:val="1413356845"/>
          <w:showingPlcHdr/>
        </w:sdtPr>
        <w:sdtEndPr/>
        <w:sdtContent>
          <w:r w:rsidR="003B53FD">
            <w:t xml:space="preserve">     </w:t>
          </w:r>
        </w:sdtContent>
      </w:sdt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припрем</w:t>
      </w:r>
      <w:sdt>
        <w:sdtPr>
          <w:tag w:val="goog_rdk_6"/>
          <w:id w:val="-2083670068"/>
        </w:sdtPr>
        <w:sdtEndPr/>
        <w:sdtContent>
          <w:r>
            <w:rPr>
              <w:rFonts w:ascii="Times New Roman" w:eastAsia="Times New Roman" w:hAnsi="Times New Roman" w:cs="Times New Roman"/>
              <w:b/>
              <w:sz w:val="24"/>
              <w:szCs w:val="24"/>
            </w:rPr>
            <w:t>е</w:t>
          </w:r>
        </w:sdtContent>
      </w:sdt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и реализ</w:t>
      </w:r>
      <w:sdt>
        <w:sdtPr>
          <w:tag w:val="goog_rdk_8"/>
          <w:id w:val="1768433155"/>
        </w:sdtPr>
        <w:sdtEndPr/>
        <w:sdtContent>
          <w:r>
            <w:rPr>
              <w:rFonts w:ascii="Times New Roman" w:eastAsia="Times New Roman" w:hAnsi="Times New Roman" w:cs="Times New Roman"/>
              <w:b/>
              <w:sz w:val="24"/>
              <w:szCs w:val="24"/>
            </w:rPr>
            <w:t>аицје</w:t>
          </w:r>
        </w:sdtContent>
      </w:sdt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LIID пројекта</w:t>
      </w:r>
      <w:r>
        <w:rPr>
          <w:rFonts w:ascii="Times New Roman" w:eastAsia="Times New Roman" w:hAnsi="Times New Roman" w:cs="Times New Roman"/>
          <w:sz w:val="24"/>
          <w:szCs w:val="24"/>
        </w:rPr>
        <w:t>, са посебним освртом на активности које могу утицати на стање и чиниоце животне средине.</w:t>
      </w:r>
      <w:sdt>
        <w:sdtPr>
          <w:tag w:val="goog_rdk_12"/>
          <w:id w:val="-74671963"/>
          <w:showingPlcHdr/>
        </w:sdtPr>
        <w:sdtEndPr/>
        <w:sdtContent>
          <w:r w:rsidR="008D1D76">
            <w:t xml:space="preserve">     </w:t>
          </w:r>
        </w:sdtContent>
      </w:sdt>
    </w:p>
    <w:p w14:paraId="0000000D" w14:textId="07ACF324" w:rsidR="00EF4BD0" w:rsidRDefault="00F854F0" w:rsidP="008D1D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Детаљне информације у вези са обавезама по  питању укључивања грађана доступна је у документу: "Укључивање грађана и друштвена процена у оквиру LIID пројекта: Ваше обавезе и кључ успеха"</w:t>
      </w:r>
      <w:sdt>
        <w:sdtPr>
          <w:tag w:val="goog_rdk_20"/>
          <w:id w:val="2111622057"/>
        </w:sdtPr>
        <w:sdtEndPr/>
        <w:sdtContent>
          <w:sdt>
            <w:sdtPr>
              <w:tag w:val="goog_rdk_19"/>
              <w:id w:val="418222119"/>
              <w:showingPlcHdr/>
            </w:sdtPr>
            <w:sdtEndPr/>
            <w:sdtContent>
              <w:r w:rsidR="003B53FD">
                <w:t xml:space="preserve">     </w:t>
              </w:r>
            </w:sdtContent>
          </w:sdt>
        </w:sdtContent>
      </w:sdt>
      <w:sdt>
        <w:sdtPr>
          <w:tag w:val="goog_rdk_22"/>
          <w:id w:val="1352136940"/>
        </w:sdtPr>
        <w:sdtEndPr/>
        <w:sdtContent>
          <w:sdt>
            <w:sdtPr>
              <w:tag w:val="goog_rdk_21"/>
              <w:id w:val="-2124064895"/>
              <w:showingPlcHdr/>
            </w:sdtPr>
            <w:sdtEndPr/>
            <w:sdtContent>
              <w:r w:rsidR="003B53FD">
                <w:t xml:space="preserve">     </w:t>
              </w:r>
            </w:sdtContent>
          </w:sdt>
        </w:sdtContent>
      </w:sdt>
      <w:sdt>
        <w:sdtPr>
          <w:tag w:val="goog_rdk_24"/>
          <w:id w:val="1821074265"/>
        </w:sdtPr>
        <w:sdtEndPr/>
        <w:sdtContent>
          <w:sdt>
            <w:sdtPr>
              <w:tag w:val="goog_rdk_23"/>
              <w:id w:val="-699936758"/>
              <w:showingPlcHdr/>
            </w:sdtPr>
            <w:sdtEndPr/>
            <w:sdtContent>
              <w:r w:rsidR="003B53FD">
                <w:t xml:space="preserve">     </w:t>
              </w:r>
            </w:sdtContent>
          </w:sdt>
        </w:sdtContent>
      </w:sdt>
      <w:sdt>
        <w:sdtPr>
          <w:tag w:val="goog_rdk_26"/>
          <w:id w:val="1603999672"/>
          <w:showingPlcHdr/>
        </w:sdtPr>
        <w:sdtEndPr/>
        <w:sdtContent>
          <w:r w:rsidR="003B53FD">
            <w:t xml:space="preserve">     </w:t>
          </w:r>
        </w:sdtContent>
      </w:sdt>
      <w:sdt>
        <w:sdtPr>
          <w:tag w:val="goog_rdk_28"/>
          <w:id w:val="-415324372"/>
          <w:showingPlcHdr/>
        </w:sdtPr>
        <w:sdtEndPr/>
        <w:sdtContent>
          <w:r w:rsidR="003B53FD">
            <w:t xml:space="preserve">     </w:t>
          </w:r>
        </w:sdtContent>
      </w:sdt>
      <w:sdt>
        <w:sdtPr>
          <w:tag w:val="goog_rdk_30"/>
          <w:id w:val="1633134691"/>
        </w:sdtPr>
        <w:sdtEndPr/>
        <w:sdtContent>
          <w:sdt>
            <w:sdtPr>
              <w:tag w:val="goog_rdk_29"/>
              <w:id w:val="-1670555921"/>
              <w:showingPlcHdr/>
            </w:sdtPr>
            <w:sdtEndPr/>
            <w:sdtContent>
              <w:r w:rsidR="003B53FD">
                <w:t xml:space="preserve">     </w:t>
              </w:r>
            </w:sdtContent>
          </w:sdt>
        </w:sdtContent>
      </w:sdt>
      <w:sdt>
        <w:sdtPr>
          <w:tag w:val="goog_rdk_32"/>
          <w:id w:val="706604455"/>
        </w:sdtPr>
        <w:sdtEndPr/>
        <w:sdtContent>
          <w:sdt>
            <w:sdtPr>
              <w:tag w:val="goog_rdk_31"/>
              <w:id w:val="896939281"/>
              <w:showingPlcHdr/>
            </w:sdtPr>
            <w:sdtEndPr/>
            <w:sdtContent>
              <w:r w:rsidR="003B53FD">
                <w:t xml:space="preserve">     </w:t>
              </w:r>
            </w:sdtContent>
          </w:sdt>
        </w:sdtContent>
      </w:sdt>
      <w:sdt>
        <w:sdtPr>
          <w:tag w:val="goog_rdk_34"/>
          <w:id w:val="-1201627225"/>
        </w:sdtPr>
        <w:sdtEndPr/>
        <w:sdtContent>
          <w:sdt>
            <w:sdtPr>
              <w:tag w:val="goog_rdk_33"/>
              <w:id w:val="-464978692"/>
              <w:showingPlcHdr/>
            </w:sdtPr>
            <w:sdtEndPr/>
            <w:sdtContent>
              <w:r w:rsidR="003B53FD">
                <w:t xml:space="preserve">     </w:t>
              </w:r>
            </w:sdtContent>
          </w:sdt>
          <w:r>
            <w:rPr>
              <w:rFonts w:ascii="Times New Roman" w:eastAsia="Times New Roman" w:hAnsi="Times New Roman" w:cs="Times New Roman"/>
              <w:sz w:val="24"/>
              <w:szCs w:val="24"/>
            </w:rPr>
            <w:t>.</w:t>
          </w:r>
        </w:sdtContent>
      </w:sdt>
    </w:p>
    <w:p w14:paraId="0000000F" w14:textId="77777777" w:rsidR="00EF4BD0" w:rsidRDefault="00F854F0" w:rsidP="003B53FD">
      <w:pPr>
        <w:spacing w:before="100" w:beforeAutospacing="1" w:after="1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 План управљања заштитом животне средине и социјалним окружењем (ЕСМП)</w:t>
      </w:r>
    </w:p>
    <w:p w14:paraId="00000010" w14:textId="77777777" w:rsidR="00EF4BD0" w:rsidRDefault="00F854F0" w:rsidP="003B53F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Поред обавезе поштовања националног законодавства у области животне средине, Пројекат LIID уводи нови елемент: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План управљања заштитом животне средине и социјалним окружењем (ЕСМП) односно ЕСМП Контролну листу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000011" w14:textId="77777777" w:rsidR="00EF4BD0" w:rsidRDefault="00F854F0" w:rsidP="003B53F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 складу са принципима LIID пројекта, након потписивања Грант уговора (ГА), Пројекат LIID израђује и доставља ЈЛС:</w:t>
      </w:r>
    </w:p>
    <w:p w14:paraId="00000012" w14:textId="77777777" w:rsidR="00EF4BD0" w:rsidRDefault="00F854F0" w:rsidP="003B53FD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ЕСМП (Environmental and Social Management Plan) или</w:t>
      </w:r>
    </w:p>
    <w:p w14:paraId="00000013" w14:textId="77777777" w:rsidR="00EF4BD0" w:rsidRDefault="00F854F0" w:rsidP="003B53FD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ЕСМП Контролну листу, у зависности од сложености пројекта.</w:t>
      </w:r>
    </w:p>
    <w:p w14:paraId="00000014" w14:textId="77777777" w:rsidR="00EF4BD0" w:rsidRDefault="00F854F0">
      <w:pPr>
        <w:spacing w:before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Оба документа садрже идентификоване потенцијалне ризике, али и програме и мере за ублажавање и/или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избегавање штетних ризика и утицаја на животну средину и информације о одговорном ентитету за сваку појединачну меру и програм. </w:t>
      </w:r>
    </w:p>
    <w:p w14:paraId="00000015" w14:textId="77777777" w:rsidR="00EF4BD0" w:rsidRDefault="00F854F0" w:rsidP="003B53FD">
      <w:pPr>
        <w:spacing w:before="120"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ЈЛС има следеће обавезе:</w:t>
      </w:r>
    </w:p>
    <w:p w14:paraId="00000016" w14:textId="77777777" w:rsidR="00EF4BD0" w:rsidRDefault="00F854F0" w:rsidP="003B53FD">
      <w:pPr>
        <w:numPr>
          <w:ilvl w:val="0"/>
          <w:numId w:val="4"/>
        </w:numPr>
        <w:spacing w:after="0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tag w:val="goog_rdk_36"/>
          <w:id w:val="543943671"/>
        </w:sdtPr>
        <w:sdtEndPr/>
        <w:sdtContent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проверава садржај и 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>објављује ЕСМП/ЕСМП Контролну листу на својој интернет страници у оквиру дела посвећеног LIID пројекту;</w:t>
      </w:r>
    </w:p>
    <w:p w14:paraId="00000017" w14:textId="77777777" w:rsidR="00EF4BD0" w:rsidRDefault="00F854F0" w:rsidP="003B53FD">
      <w:pPr>
        <w:numPr>
          <w:ilvl w:val="0"/>
          <w:numId w:val="4"/>
        </w:numPr>
        <w:spacing w:after="0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допуњује ЕСМП/ЕСМП Контролну листу са информацијама о јавним консултацијама, пре расписивања јавне набавке;</w:t>
      </w:r>
    </w:p>
    <w:p w14:paraId="00000018" w14:textId="77777777" w:rsidR="00EF4BD0" w:rsidRDefault="00F854F0" w:rsidP="003B53FD">
      <w:pPr>
        <w:numPr>
          <w:ilvl w:val="0"/>
          <w:numId w:val="4"/>
        </w:numPr>
        <w:spacing w:after="100" w:afterAutospacing="1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користи допуњену верзију у оквиру документације за јавну набавку и постави на интернет страници.</w:t>
      </w:r>
    </w:p>
    <w:p w14:paraId="0000001A" w14:textId="0D852099" w:rsidR="00EF4BD0" w:rsidRPr="003B53FD" w:rsidRDefault="00F854F0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D1D76">
        <w:rPr>
          <w:rFonts w:ascii="Times New Roman" w:eastAsia="Times New Roman" w:hAnsi="Times New Roman" w:cs="Times New Roman"/>
          <w:b/>
          <w:bCs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B53F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Спровођење мера у </w:t>
      </w:r>
      <w:r w:rsidRPr="003B53FD">
        <w:rPr>
          <w:rFonts w:ascii="Times New Roman" w:eastAsia="Times New Roman" w:hAnsi="Times New Roman" w:cs="Times New Roman"/>
          <w:b/>
          <w:bCs/>
          <w:sz w:val="24"/>
          <w:szCs w:val="24"/>
        </w:rPr>
        <w:t>складу са ЕСМП/ЕСМП Контролном листом</w:t>
      </w:r>
    </w:p>
    <w:p w14:paraId="0000001B" w14:textId="77777777" w:rsidR="00EF4BD0" w:rsidRDefault="00F854F0" w:rsidP="003B53FD">
      <w:pPr>
        <w:spacing w:before="120"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 складу са ЕСМП/ЕСМП Контролном листом, ЈЛС је у обавези да, између осталог:</w:t>
      </w:r>
    </w:p>
    <w:p w14:paraId="0000001C" w14:textId="77777777" w:rsidR="00EF4BD0" w:rsidRDefault="00F854F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Обезбеди поштовање прописа наведених у Делу 1, као и да информише извођача радова да је у обавези да приложи потписану Изјаву о правној и регулативној усглашености из Прилога 6, као део документације којом се пријављује за учешће у јавној набавци;</w:t>
      </w:r>
    </w:p>
    <w:p w14:paraId="0000001D" w14:textId="77777777" w:rsidR="00EF4BD0" w:rsidRDefault="00F854F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 поштује и предочи извођачу радова мере ублажавања прописане у Делу 2;</w:t>
      </w:r>
    </w:p>
    <w:p w14:paraId="0000001E" w14:textId="77777777" w:rsidR="00EF4BD0" w:rsidRDefault="00F854F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поштује и укаже свим релевантним странама на Мере мониторинга из Дела 3; </w:t>
      </w:r>
    </w:p>
    <w:p w14:paraId="0000001F" w14:textId="77777777" w:rsidR="00EF4BD0" w:rsidRDefault="00F854F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обезбеди правовремену припрему Плана управљања саобраћајем за специфичну локацију у складу са смерницама из Прилога 3 и обвестити јавност о изменама у саобраћају и алтернативама.  </w:t>
      </w:r>
    </w:p>
    <w:p w14:paraId="24BB6DA5" w14:textId="77777777" w:rsidR="008D1D76" w:rsidRDefault="008D1D76" w:rsidP="008D1D76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0" w14:textId="77777777" w:rsidR="00EF4BD0" w:rsidRPr="003B53FD" w:rsidRDefault="00F854F0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B53FD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4. Кључни аспекти везани за животну средину</w:t>
      </w:r>
    </w:p>
    <w:tbl>
      <w:tblPr>
        <w:tblStyle w:val="a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EF4BD0" w14:paraId="625B08BC" w14:textId="77777777">
        <w:tc>
          <w:tcPr>
            <w:tcW w:w="9016" w:type="dxa"/>
            <w:shd w:val="clear" w:color="auto" w:fill="D9D9D9"/>
          </w:tcPr>
          <w:p w14:paraId="00000021" w14:textId="77777777" w:rsidR="00EF4BD0" w:rsidRDefault="00F854F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Очување зелених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површина и дрвећа</w:t>
            </w:r>
          </w:p>
          <w:p w14:paraId="00000022" w14:textId="77777777" w:rsidR="00EF4BD0" w:rsidRDefault="00EF4B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023" w14:textId="77777777" w:rsidR="00EF4BD0" w:rsidRDefault="00F854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Сеча стабала и уклањање зеленила могуће је само уколико је препоручено и аргументовано у оквиру извештаја о валоризацији постојеће вегетације, који је саставни део техничке документације (потребно га је урадити у току планирања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активности).</w:t>
            </w:r>
            <w:sdt>
              <w:sdtPr>
                <w:tag w:val="goog_rdk_37"/>
                <w:id w:val="-751203380"/>
              </w:sdtPr>
              <w:sdtEndPr/>
              <w:sdtContent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Разлози за сечу морају бити јасно наведени и оправдани, укључујући и прецизну информацију о постојећем броју стабала и оних предвиђених за сечу, постојеће површине под зеленилом и површине након пројектних активности. Потребно је да извештај о валоризацији буде наведена и врста биљака и дрвећа које ће бити посађено.  </w:t>
                </w:r>
              </w:sdtContent>
            </w:sdt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0000024" w14:textId="7102470C" w:rsidR="00EF4BD0" w:rsidRDefault="00F854F0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Кумулативни број стабала и зелених површина на крају интервенције мора бити већи од оног пре почетка интервенције (посечено:укупни број стабала</w:t>
            </w:r>
            <w:sdt>
              <w:sdtPr>
                <w:tag w:val="goog_rdk_38"/>
                <w:id w:val="1632204078"/>
              </w:sdtPr>
              <w:sdtEndPr/>
              <w:sdtContent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пожељно је да буде </w:t>
                </w:r>
              </w:sdtContent>
            </w:sdt>
            <w:sdt>
              <w:sdtPr>
                <w:tag w:val="goog_rdk_39"/>
                <w:id w:val="-1251653424"/>
                <w:showingPlcHdr/>
              </w:sdtPr>
              <w:sdtEndPr/>
              <w:sdtContent>
                <w:r w:rsidR="003B53FD">
                  <w:t xml:space="preserve">     </w:t>
                </w:r>
              </w:sdtContent>
            </w:sdt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1:3</w:t>
            </w:r>
            <w:sdt>
              <w:sdtPr>
                <w:tag w:val="goog_rdk_40"/>
                <w:id w:val="-1781337887"/>
              </w:sdtPr>
              <w:sdtEndPr/>
              <w:sdtContent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)</w:t>
                </w:r>
              </w:sdtContent>
            </w:sdt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14:paraId="00000025" w14:textId="77777777" w:rsidR="00EF4BD0" w:rsidRDefault="00F854F0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Уколико током радова дође до оштећена стабала која нису предвиђена за сечу, те их је непланирано потребно исећи неопходно  је да то буде забележено у документацији за споровођење пројекта и да о томе буде обавештена јавност (начини комуникације су избор ЈЛС)</w:t>
            </w:r>
          </w:p>
          <w:p w14:paraId="00000026" w14:textId="77777777" w:rsidR="00EF4BD0" w:rsidRDefault="00F854F0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Додатне мере у области заштите животне средине</w:t>
            </w:r>
          </w:p>
          <w:p w14:paraId="00000027" w14:textId="77777777" w:rsidR="00EF4BD0" w:rsidRDefault="00F854F0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Потребно је прибавити услове/сагласност надлежног Завода за заштиту природе пре почетка извођења радова уколико је за специфичну локацију потребно (заштићено подручје, станиште заштићених врста и сл). </w:t>
            </w:r>
          </w:p>
          <w:p w14:paraId="00000028" w14:textId="7F6C7CCF" w:rsidR="00EF4BD0" w:rsidRDefault="00F854F0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Потребна је правовремена израда Плана управљања грађевинским отпадом у току извођења радова на изградњи објекта, односно на рушењу, односно уклањању објекта, односно дела објекта, али и обезбеђење услова за руковањем други</w:t>
            </w:r>
            <w:sdt>
              <w:sdtPr>
                <w:tag w:val="goog_rdk_41"/>
                <w:id w:val="1576392699"/>
              </w:sdtPr>
              <w:sdtEndPr/>
              <w:sdtContent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м</w:t>
                </w:r>
              </w:sdtContent>
            </w:sdt>
            <w:sdt>
              <w:sdtPr>
                <w:tag w:val="goog_rdk_42"/>
                <w:id w:val="323486529"/>
                <w:showingPlcHdr/>
              </w:sdtPr>
              <w:sdtEndPr/>
              <w:sdtContent>
                <w:r w:rsidR="003B53FD">
                  <w:t xml:space="preserve">     </w:t>
                </w:r>
              </w:sdtContent>
            </w:sdt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врста</w:t>
            </w:r>
            <w:sdt>
              <w:sdtPr>
                <w:tag w:val="goog_rdk_43"/>
                <w:id w:val="382985440"/>
              </w:sdtPr>
              <w:sdtEndPr/>
              <w:sdtContent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ма</w:t>
                </w:r>
              </w:sdtContent>
            </w:sdt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отпада у складу са законом. </w:t>
            </w:r>
          </w:p>
          <w:p w14:paraId="00000029" w14:textId="77777777" w:rsidR="00EF4BD0" w:rsidRDefault="00F854F0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Потребно је поставити лако доступне информације о Жалбеном механизму и знакове упозорења/путоказе тако да градилиште буде јасно видљиво, а јавност упозорена на све потенцијалне опасности. </w:t>
            </w:r>
          </w:p>
        </w:tc>
      </w:tr>
    </w:tbl>
    <w:p w14:paraId="0000002A" w14:textId="77777777" w:rsidR="00EF4BD0" w:rsidRDefault="00EF4BD0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EF4BD0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A09097" w14:textId="77777777" w:rsidR="00F854F0" w:rsidRDefault="00F854F0">
      <w:pPr>
        <w:spacing w:after="0" w:line="240" w:lineRule="auto"/>
      </w:pPr>
      <w:r>
        <w:separator/>
      </w:r>
    </w:p>
  </w:endnote>
  <w:endnote w:type="continuationSeparator" w:id="0">
    <w:p w14:paraId="086E8409" w14:textId="77777777" w:rsidR="00F854F0" w:rsidRDefault="00F854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5578246-13EB-4028-B3CF-0F2C483C9D1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688C1BDF-D6FB-413D-832A-41A556CF0827}"/>
    <w:embedBold r:id="rId3" w:fontKey="{6442C3A2-0E67-4BB8-BF71-8589E0127F46}"/>
    <w:embedItalic r:id="rId4" w:fontKey="{4A7DD677-A29E-4E29-BF4F-200A6818826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DC0837E5-B815-45D1-9F24-A9E0134D058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Bold r:id="rId6" w:fontKey="{30796FBE-F20C-4C0F-B528-2E361F0A871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EF280D" w14:textId="77777777" w:rsidR="00F854F0" w:rsidRDefault="00F854F0">
      <w:pPr>
        <w:spacing w:after="0" w:line="240" w:lineRule="auto"/>
      </w:pPr>
      <w:r>
        <w:separator/>
      </w:r>
    </w:p>
  </w:footnote>
  <w:footnote w:type="continuationSeparator" w:id="0">
    <w:p w14:paraId="27FF0B26" w14:textId="77777777" w:rsidR="00F854F0" w:rsidRDefault="00F854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513D67"/>
    <w:multiLevelType w:val="multilevel"/>
    <w:tmpl w:val="92429B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34FE3A71"/>
    <w:multiLevelType w:val="multilevel"/>
    <w:tmpl w:val="A14C4D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A5323BA"/>
    <w:multiLevelType w:val="multilevel"/>
    <w:tmpl w:val="A434DE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F679AF"/>
    <w:multiLevelType w:val="multilevel"/>
    <w:tmpl w:val="157EFFE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6AC560C3"/>
    <w:multiLevelType w:val="multilevel"/>
    <w:tmpl w:val="BED0A4B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937372625">
    <w:abstractNumId w:val="4"/>
  </w:num>
  <w:num w:numId="2" w16cid:durableId="1924946765">
    <w:abstractNumId w:val="3"/>
  </w:num>
  <w:num w:numId="3" w16cid:durableId="2029208051">
    <w:abstractNumId w:val="0"/>
  </w:num>
  <w:num w:numId="4" w16cid:durableId="1577859632">
    <w:abstractNumId w:val="1"/>
  </w:num>
  <w:num w:numId="5" w16cid:durableId="14562147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4BD0"/>
    <w:rsid w:val="003B53FD"/>
    <w:rsid w:val="0072043B"/>
    <w:rsid w:val="008D1D76"/>
    <w:rsid w:val="00D33D7B"/>
    <w:rsid w:val="00EA3135"/>
    <w:rsid w:val="00EF4BD0"/>
    <w:rsid w:val="00F00E70"/>
    <w:rsid w:val="00F410BB"/>
    <w:rsid w:val="00F85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FD0F4D"/>
  <w15:docId w15:val="{685E2E7B-D7C9-41B2-B67C-2F4DAB56A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sr-Cyrl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6A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76A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76A3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76A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76A3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76A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76A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76A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76A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376A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376A39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76A39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76A39"/>
    <w:rPr>
      <w:rFonts w:eastAsiaTheme="majorEastAsia" w:cstheme="majorBidi"/>
      <w:color w:val="0F4761" w:themeColor="accent1" w:themeShade="BF"/>
      <w:sz w:val="28"/>
      <w:szCs w:val="28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76A39"/>
    <w:rPr>
      <w:rFonts w:eastAsiaTheme="majorEastAsia" w:cstheme="majorBidi"/>
      <w:i/>
      <w:iCs/>
      <w:color w:val="0F4761" w:themeColor="accent1" w:themeShade="BF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76A39"/>
    <w:rPr>
      <w:rFonts w:eastAsiaTheme="majorEastAsia" w:cstheme="majorBidi"/>
      <w:color w:val="0F4761" w:themeColor="accent1" w:themeShade="BF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76A39"/>
    <w:rPr>
      <w:rFonts w:eastAsiaTheme="majorEastAsia" w:cstheme="majorBidi"/>
      <w:i/>
      <w:iCs/>
      <w:color w:val="595959" w:themeColor="text1" w:themeTint="A6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76A39"/>
    <w:rPr>
      <w:rFonts w:eastAsiaTheme="majorEastAsia" w:cstheme="majorBidi"/>
      <w:color w:val="595959" w:themeColor="text1" w:themeTint="A6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76A39"/>
    <w:rPr>
      <w:rFonts w:eastAsiaTheme="majorEastAsia" w:cstheme="majorBidi"/>
      <w:i/>
      <w:iCs/>
      <w:color w:val="272727" w:themeColor="text1" w:themeTint="D8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76A39"/>
    <w:rPr>
      <w:rFonts w:eastAsiaTheme="majorEastAsia" w:cstheme="majorBidi"/>
      <w:color w:val="272727" w:themeColor="text1" w:themeTint="D8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376A39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76A39"/>
    <w:rPr>
      <w:rFonts w:eastAsiaTheme="majorEastAsia" w:cstheme="majorBidi"/>
      <w:color w:val="595959" w:themeColor="text1" w:themeTint="A6"/>
      <w:spacing w:val="15"/>
      <w:sz w:val="28"/>
      <w:szCs w:val="28"/>
      <w:lang w:val="en-GB"/>
    </w:rPr>
  </w:style>
  <w:style w:type="paragraph" w:styleId="Quote">
    <w:name w:val="Quote"/>
    <w:basedOn w:val="Normal"/>
    <w:next w:val="Normal"/>
    <w:link w:val="QuoteChar"/>
    <w:uiPriority w:val="29"/>
    <w:qFormat/>
    <w:rsid w:val="00376A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76A39"/>
    <w:rPr>
      <w:i/>
      <w:iCs/>
      <w:color w:val="404040" w:themeColor="text1" w:themeTint="BF"/>
      <w:lang w:val="en-GB"/>
    </w:rPr>
  </w:style>
  <w:style w:type="paragraph" w:styleId="ListParagraph">
    <w:name w:val="List Paragraph"/>
    <w:aliases w:val="List_Paragraph,Multilevel para_II,Akapit z listą BS,Bullet1,List Paragraph 1,List Paragraph (numbered (a)),Numbered list,Forth level,NumberedParas,Bullets,PAD,Main numbered paragraph,List Paragraph-ExecSummary,References,Citation List,Ha"/>
    <w:basedOn w:val="Normal"/>
    <w:link w:val="ListParagraphChar"/>
    <w:uiPriority w:val="34"/>
    <w:qFormat/>
    <w:rsid w:val="00376A3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76A3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76A3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76A39"/>
    <w:rPr>
      <w:i/>
      <w:iCs/>
      <w:color w:val="0F4761" w:themeColor="accent1" w:themeShade="BF"/>
      <w:lang w:val="en-GB"/>
    </w:rPr>
  </w:style>
  <w:style w:type="character" w:styleId="IntenseReference">
    <w:name w:val="Intense Reference"/>
    <w:basedOn w:val="DefaultParagraphFont"/>
    <w:uiPriority w:val="32"/>
    <w:qFormat/>
    <w:rsid w:val="00376A3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95F4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5F4B"/>
    <w:rPr>
      <w:color w:val="605E5C"/>
      <w:shd w:val="clear" w:color="auto" w:fill="E1DFDD"/>
    </w:rPr>
  </w:style>
  <w:style w:type="character" w:customStyle="1" w:styleId="ListParagraphChar">
    <w:name w:val="List Paragraph Char"/>
    <w:aliases w:val="List_Paragraph Char,Multilevel para_II Char,Akapit z listą BS Char,Bullet1 Char,List Paragraph 1 Char,List Paragraph (numbered (a)) Char,Numbered list Char,Forth level Char,NumberedParas Char,Bullets Char,PAD Char,References Char"/>
    <w:basedOn w:val="DefaultParagraphFont"/>
    <w:link w:val="ListParagraph"/>
    <w:uiPriority w:val="34"/>
    <w:qFormat/>
    <w:rsid w:val="00AD09E4"/>
    <w:rPr>
      <w:lang w:val="en-GB"/>
    </w:rPr>
  </w:style>
  <w:style w:type="paragraph" w:styleId="Caption">
    <w:name w:val="caption"/>
    <w:basedOn w:val="Normal"/>
    <w:next w:val="Normal"/>
    <w:uiPriority w:val="35"/>
    <w:unhideWhenUsed/>
    <w:qFormat/>
    <w:rsid w:val="00AD09E4"/>
    <w:pPr>
      <w:keepNext/>
      <w:spacing w:before="240" w:line="240" w:lineRule="auto"/>
      <w:jc w:val="both"/>
    </w:pPr>
    <w:rPr>
      <w:rFonts w:ascii="Calibri" w:eastAsia="Times New Roman" w:hAnsi="Calibri" w:cs="Times New Roman"/>
      <w:b/>
      <w:bCs/>
      <w:spacing w:val="10"/>
      <w:lang w:val="en-US" w:eastAsia="ja-JP"/>
    </w:rPr>
  </w:style>
  <w:style w:type="table" w:styleId="TableGrid">
    <w:name w:val="Table Grid"/>
    <w:basedOn w:val="TableNormal"/>
    <w:uiPriority w:val="39"/>
    <w:rsid w:val="000F52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997AF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7AF3"/>
    <w:rPr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997AF3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6213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2136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21368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213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1368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644276"/>
    <w:pPr>
      <w:spacing w:after="0" w:line="240" w:lineRule="auto"/>
    </w:pPr>
    <w:rPr>
      <w:lang w:val="en-GB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H5X6pD8RqHKx9UXatl9VcV/rUw==">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635</Words>
  <Characters>3626</Characters>
  <Application>Microsoft Office Word</Application>
  <DocSecurity>4</DocSecurity>
  <Lines>30</Lines>
  <Paragraphs>8</Paragraphs>
  <ScaleCrop>false</ScaleCrop>
  <Company/>
  <LinksUpToDate>false</LinksUpToDate>
  <CharactersWithSpaces>4253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Masha Mileusnic</dc:creator>
  <cp:lastModifiedBy>Masha Mileusnic</cp:lastModifiedBy>
  <cp:revision>2</cp:revision>
  <dcterms:created xsi:type="dcterms:W3CDTF">2025-07-22T12:14:00Z</dcterms:created>
  <dcterms:modified xsi:type="dcterms:W3CDTF">2025-07-22T12:14:00Z</dcterms:modified>
</cp:coreProperties>
</file>