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C" w:rsidRPr="00A44A8C" w:rsidRDefault="00777E26" w:rsidP="00BC1071">
      <w:pPr>
        <w:spacing w:after="0" w:line="240" w:lineRule="auto"/>
        <w:ind w:left="-284"/>
        <w:rPr>
          <w:rFonts w:eastAsia="Times New Roman" w:cs="Times New Roman"/>
          <w:szCs w:val="24"/>
          <w:lang w:val="sr-Cyrl-CS" w:eastAsia="sr-Latn-CS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sr-Latn-CS"/>
        </w:rPr>
        <w:t xml:space="preserve">    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A44A8C" w:rsidRPr="009874EE" w:rsidRDefault="00F148FB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07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 Број: 404-1-</w:t>
      </w:r>
      <w:r w:rsidR="00E17E52">
        <w:rPr>
          <w:rFonts w:eastAsia="Times New Roman" w:cs="Times New Roman"/>
          <w:szCs w:val="24"/>
          <w:lang w:eastAsia="sr-Latn-CS"/>
        </w:rPr>
        <w:t>1</w:t>
      </w:r>
      <w:r>
        <w:rPr>
          <w:rFonts w:eastAsia="Times New Roman" w:cs="Times New Roman"/>
          <w:szCs w:val="24"/>
          <w:lang w:eastAsia="sr-Latn-CS"/>
        </w:rPr>
        <w:t>4-2</w:t>
      </w:r>
      <w:r w:rsidR="009874EE">
        <w:rPr>
          <w:rFonts w:eastAsia="Times New Roman" w:cs="Times New Roman"/>
          <w:szCs w:val="24"/>
          <w:lang w:val="sr-Cyrl-CS" w:eastAsia="sr-Latn-CS"/>
        </w:rPr>
        <w:t>/201</w:t>
      </w:r>
      <w:r>
        <w:rPr>
          <w:rFonts w:eastAsia="Times New Roman" w:cs="Times New Roman"/>
          <w:szCs w:val="24"/>
          <w:lang w:eastAsia="sr-Latn-CS"/>
        </w:rPr>
        <w:t>7</w:t>
      </w:r>
      <w:r w:rsidR="009874EE">
        <w:rPr>
          <w:rFonts w:eastAsia="Times New Roman" w:cs="Times New Roman"/>
          <w:szCs w:val="24"/>
          <w:lang w:val="sr-Cyrl-CS" w:eastAsia="sr-Latn-CS"/>
        </w:rPr>
        <w:t>-</w:t>
      </w:r>
      <w:r w:rsidR="009874EE">
        <w:rPr>
          <w:rFonts w:eastAsia="Times New Roman" w:cs="Times New Roman"/>
          <w:szCs w:val="24"/>
          <w:lang w:eastAsia="sr-Latn-CS"/>
        </w:rPr>
        <w:t>1</w:t>
      </w:r>
    </w:p>
    <w:p w:rsidR="00A44A8C" w:rsidRPr="009874EE" w:rsidRDefault="00F148FB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eastAsia="sr-Latn-CS"/>
        </w:rPr>
        <w:t>31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>.</w:t>
      </w:r>
      <w:r w:rsidR="004323F9">
        <w:rPr>
          <w:rFonts w:eastAsia="Times New Roman" w:cs="Times New Roman"/>
          <w:szCs w:val="24"/>
          <w:lang w:val="sr-Cyrl-CS" w:eastAsia="sr-Latn-CS"/>
        </w:rPr>
        <w:t>07</w:t>
      </w:r>
      <w:r w:rsidR="00650411" w:rsidRPr="0057223A">
        <w:rPr>
          <w:rFonts w:eastAsia="Times New Roman" w:cs="Times New Roman"/>
          <w:szCs w:val="24"/>
          <w:lang w:val="sr-Cyrl-CS" w:eastAsia="sr-Latn-CS"/>
        </w:rPr>
        <w:t>.201</w:t>
      </w:r>
      <w:r>
        <w:rPr>
          <w:rFonts w:eastAsia="Times New Roman" w:cs="Times New Roman"/>
          <w:szCs w:val="24"/>
          <w:lang w:eastAsia="sr-Latn-CS"/>
        </w:rPr>
        <w:t>7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 xml:space="preserve">.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>године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807867" w:rsidRDefault="00C7758D" w:rsidP="00F148FB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F148FB">
        <w:rPr>
          <w:rFonts w:eastAsia="TimesNewRomanPSMT" w:cs="Times New Roman"/>
          <w:kern w:val="2"/>
          <w:szCs w:val="24"/>
          <w:lang w:eastAsia="ar-SA"/>
        </w:rPr>
        <w:t>14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9874EE">
        <w:rPr>
          <w:b/>
          <w:lang w:val="sr-Cyrl-CS"/>
        </w:rPr>
        <w:t>број 1</w:t>
      </w:r>
      <w:r w:rsidR="00F148FB">
        <w:rPr>
          <w:b/>
        </w:rPr>
        <w:t>4-2</w:t>
      </w:r>
      <w:r w:rsidR="009874EE">
        <w:rPr>
          <w:b/>
          <w:lang w:val="sr-Cyrl-CS"/>
        </w:rPr>
        <w:t>/201</w:t>
      </w:r>
      <w:r w:rsidR="00F148FB">
        <w:rPr>
          <w:b/>
        </w:rPr>
        <w:t>7</w:t>
      </w:r>
      <w:r w:rsidR="008103A1">
        <w:rPr>
          <w:lang w:val="sr-Cyrl-CS"/>
        </w:rPr>
        <w:t>,</w:t>
      </w:r>
      <w:r w:rsidR="00E50A80">
        <w:t xml:space="preserve"> </w:t>
      </w:r>
      <w:r w:rsidR="008C64F2">
        <w:rPr>
          <w:lang w:val="sr-Cyrl-CS"/>
        </w:rPr>
        <w:t>по Решењу о обр</w:t>
      </w:r>
      <w:r w:rsidR="00677783">
        <w:rPr>
          <w:lang w:val="sr-Cyrl-CS"/>
        </w:rPr>
        <w:t>азовању Комисије 07</w:t>
      </w:r>
      <w:r w:rsidR="009874EE">
        <w:rPr>
          <w:lang w:val="sr-Cyrl-CS"/>
        </w:rPr>
        <w:t xml:space="preserve"> бр. 404-1-1</w:t>
      </w:r>
      <w:r w:rsidR="00F148FB">
        <w:t>4-2</w:t>
      </w:r>
      <w:r w:rsidR="009874EE">
        <w:rPr>
          <w:lang w:val="sr-Cyrl-CS"/>
        </w:rPr>
        <w:t>/</w:t>
      </w:r>
      <w:r w:rsidR="009874EE" w:rsidRPr="007B5C9A">
        <w:rPr>
          <w:lang w:val="sr-Cyrl-CS"/>
        </w:rPr>
        <w:t>201</w:t>
      </w:r>
      <w:r w:rsidR="00F148FB">
        <w:t>7</w:t>
      </w:r>
      <w:r w:rsidR="004323F9">
        <w:rPr>
          <w:lang w:val="sr-Cyrl-CS"/>
        </w:rPr>
        <w:t>/1</w:t>
      </w:r>
      <w:r w:rsidR="009874EE" w:rsidRPr="007B5C9A">
        <w:rPr>
          <w:lang w:val="sr-Cyrl-CS"/>
        </w:rPr>
        <w:t xml:space="preserve"> од </w:t>
      </w:r>
      <w:r w:rsidR="00F148FB">
        <w:t>2</w:t>
      </w:r>
      <w:r w:rsidR="004323F9">
        <w:rPr>
          <w:lang w:val="sr-Cyrl-CS"/>
        </w:rPr>
        <w:t>4</w:t>
      </w:r>
      <w:r w:rsidR="009874EE" w:rsidRPr="007B5C9A">
        <w:rPr>
          <w:lang w:val="sr-Cyrl-CS"/>
        </w:rPr>
        <w:t>.</w:t>
      </w:r>
      <w:r w:rsidR="004323F9">
        <w:t>0</w:t>
      </w:r>
      <w:r w:rsidR="004323F9">
        <w:rPr>
          <w:lang w:val="sr-Cyrl-CS"/>
        </w:rPr>
        <w:t>7</w:t>
      </w:r>
      <w:r w:rsidR="009874EE" w:rsidRPr="007B5C9A">
        <w:rPr>
          <w:lang w:val="sr-Cyrl-CS"/>
        </w:rPr>
        <w:t>.201</w:t>
      </w:r>
      <w:r w:rsidR="00F148FB">
        <w:t>7</w:t>
      </w:r>
      <w:r w:rsidR="008C64F2" w:rsidRPr="007B5C9A">
        <w:rPr>
          <w:lang w:val="sr-Cyrl-CS"/>
        </w:rPr>
        <w:t xml:space="preserve">. године </w:t>
      </w:r>
      <w:r w:rsidR="00E50A80">
        <w:t xml:space="preserve">обавештава сва заинтересова лица да је извршена измена и допуна конкурсне документације за </w:t>
      </w:r>
      <w:r w:rsidR="00F148FB">
        <w:t>преговарач</w:t>
      </w:r>
      <w:r w:rsidR="00F148FB">
        <w:rPr>
          <w:lang w:val="sr-Cyrl-CS"/>
        </w:rPr>
        <w:t xml:space="preserve">ки </w:t>
      </w:r>
      <w:r w:rsidR="00F148FB">
        <w:t xml:space="preserve"> поступ</w:t>
      </w:r>
      <w:r w:rsidR="00F148FB">
        <w:rPr>
          <w:lang w:val="sr-Cyrl-CS"/>
        </w:rPr>
        <w:t>ак</w:t>
      </w:r>
      <w:r w:rsidR="00F148FB">
        <w:t xml:space="preserve"> без објављивања позива за подношење понуда</w:t>
      </w:r>
      <w:r w:rsidR="00F148FB">
        <w:rPr>
          <w:lang w:val="sr-Cyrl-CS"/>
        </w:rPr>
        <w:t xml:space="preserve"> -</w:t>
      </w:r>
      <w:r w:rsidR="00F148FB">
        <w:t xml:space="preserve">  </w:t>
      </w:r>
      <w:r w:rsidR="00F148FB" w:rsidRPr="00F148FB">
        <w:t>Набавка услуге одржавања софтвера - информационог система ЛПА</w:t>
      </w:r>
      <w:r w:rsidR="00F148FB">
        <w:rPr>
          <w:lang w:val="sr-Cyrl-CS"/>
        </w:rPr>
        <w:t>,</w:t>
      </w:r>
      <w:r w:rsidR="00F148FB">
        <w:t xml:space="preserve">  </w:t>
      </w:r>
      <w:r w:rsidR="00F148FB" w:rsidRPr="00F148FB">
        <w:t>број ЈН 14-2/2017</w:t>
      </w:r>
      <w:r w:rsidR="00F148FB">
        <w:t xml:space="preserve">           </w:t>
      </w:r>
    </w:p>
    <w:p w:rsidR="00152E34" w:rsidRDefault="00650411" w:rsidP="00807867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</w:rPr>
        <w:t>ИЗМЕНА И ДОПУНА</w:t>
      </w:r>
      <w:r w:rsidR="006F7D4E">
        <w:rPr>
          <w:b/>
          <w:lang w:val="sr-Cyrl-CS"/>
        </w:rPr>
        <w:t xml:space="preserve"> КОНКУРСНЕ ДОКУМЕНТАЦИЈЕ</w:t>
      </w:r>
      <w:r>
        <w:rPr>
          <w:b/>
        </w:rPr>
        <w:t xml:space="preserve"> </w:t>
      </w:r>
      <w:r w:rsidR="00302B1A">
        <w:rPr>
          <w:b/>
          <w:color w:val="FF0000"/>
        </w:rPr>
        <w:t xml:space="preserve">БРОЈ </w:t>
      </w:r>
      <w:r w:rsidR="009874EE">
        <w:rPr>
          <w:b/>
          <w:color w:val="FF0000"/>
        </w:rPr>
        <w:t>1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4323F9" w:rsidRP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F148FB" w:rsidRPr="00F148FB" w:rsidRDefault="00F148FB" w:rsidP="00F148FB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Latn-RS" w:eastAsia="ar-SA"/>
        </w:rPr>
      </w:pPr>
      <w:r w:rsidRPr="00F148FB"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Latn-RS" w:eastAsia="ar-SA"/>
        </w:rPr>
        <w:t>III  ВРСТА, ТЕХНИЧКЕ КАРАКТЕРИСТИКЕ И ОПИС УСЛУГА-СПЕЦИФИКАЦИЈА УСЛУГА</w:t>
      </w:r>
    </w:p>
    <w:p w:rsidR="00F148FB" w:rsidRPr="00F148FB" w:rsidRDefault="00F148FB" w:rsidP="00F148FB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Latn-RS" w:eastAsia="ar-SA"/>
        </w:rPr>
      </w:pPr>
    </w:p>
    <w:p w:rsidR="00677783" w:rsidRDefault="00F148FB" w:rsidP="00F148FB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Cyrl-CS" w:eastAsia="ar-SA"/>
        </w:rPr>
      </w:pPr>
      <w:r w:rsidRPr="00F148FB"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Latn-RS" w:eastAsia="ar-SA"/>
        </w:rPr>
        <w:t>СПЕЦИФИКАЦИЈА УСЛУГЕ ОДРЖАВАЊА СОФТВЕРА „МИХАЈЛО ПУПИН“</w:t>
      </w:r>
    </w:p>
    <w:p w:rsidR="004323F9" w:rsidRDefault="004323F9" w:rsidP="00F148FB">
      <w:pPr>
        <w:shd w:val="clear" w:color="auto" w:fill="C6D9F1"/>
        <w:suppressAutoHyphens/>
        <w:spacing w:after="0" w:line="100" w:lineRule="atLeast"/>
        <w:jc w:val="center"/>
      </w:pPr>
      <w:r>
        <w:rPr>
          <w:rFonts w:eastAsia="Arial" w:cs="Times New Roman"/>
          <w:b/>
          <w:szCs w:val="24"/>
          <w:lang w:val="sr-Cyrl-CS" w:eastAsia="zh-CN"/>
        </w:rPr>
        <w:t xml:space="preserve">на </w:t>
      </w:r>
      <w:r>
        <w:rPr>
          <w:lang w:val="sr-Cyrl-CS"/>
        </w:rPr>
        <w:t xml:space="preserve"> страни</w:t>
      </w:r>
      <w:r w:rsidRPr="00275945">
        <w:rPr>
          <w:lang w:val="sr-Cyrl-CS"/>
        </w:rPr>
        <w:t xml:space="preserve"> </w:t>
      </w:r>
      <w:r w:rsidR="00677783" w:rsidRPr="00677783">
        <w:rPr>
          <w:lang w:val="sr-Cyrl-CS"/>
        </w:rPr>
        <w:t xml:space="preserve">број 5. </w:t>
      </w:r>
      <w:r w:rsidRPr="00275945">
        <w:rPr>
          <w:lang w:val="sr-Cyrl-CS"/>
        </w:rPr>
        <w:t xml:space="preserve">конкурсне </w:t>
      </w:r>
      <w:r w:rsidRPr="00F148FB">
        <w:rPr>
          <w:color w:val="FF0000"/>
          <w:lang w:val="sr-Cyrl-CS"/>
        </w:rPr>
        <w:t xml:space="preserve">документације </w:t>
      </w:r>
    </w:p>
    <w:p w:rsidR="00807867" w:rsidRPr="00807867" w:rsidRDefault="004323F9" w:rsidP="00807867">
      <w:pPr>
        <w:spacing w:before="60" w:line="240" w:lineRule="auto"/>
        <w:jc w:val="both"/>
        <w:rPr>
          <w:rFonts w:eastAsia="Calibri" w:cs="Arial"/>
          <w:b/>
          <w:bCs/>
          <w:szCs w:val="24"/>
          <w:u w:val="single"/>
          <w:lang w:eastAsia="el-GR"/>
        </w:rPr>
      </w:pPr>
      <w:r w:rsidRPr="00807867">
        <w:rPr>
          <w:b/>
          <w:color w:val="FF0000"/>
          <w:lang w:val="sr-Cyrl-CS"/>
        </w:rPr>
        <w:t xml:space="preserve"> </w:t>
      </w:r>
      <w:r w:rsidR="00807867" w:rsidRPr="00807867">
        <w:rPr>
          <w:b/>
          <w:color w:val="FF0000"/>
          <w:lang w:val="sr-Cyrl-CS"/>
        </w:rPr>
        <w:t xml:space="preserve"> у делу </w:t>
      </w:r>
      <w:r w:rsidR="00807867" w:rsidRPr="00807867">
        <w:rPr>
          <w:rFonts w:eastAsia="Calibri" w:cs="Arial"/>
          <w:b/>
          <w:bCs/>
          <w:szCs w:val="24"/>
          <w:u w:val="single"/>
          <w:lang w:val="sr-Cyrl-RS" w:eastAsia="el-GR"/>
        </w:rPr>
        <w:t xml:space="preserve">2. </w:t>
      </w:r>
      <w:r w:rsidR="00807867" w:rsidRPr="00807867">
        <w:rPr>
          <w:rFonts w:eastAsia="Calibri" w:cs="Arial"/>
          <w:b/>
          <w:bCs/>
          <w:szCs w:val="24"/>
          <w:u w:val="single"/>
          <w:lang w:val="ru-RU" w:eastAsia="el-GR"/>
        </w:rPr>
        <w:t>Техничка подршка</w:t>
      </w:r>
      <w:r w:rsidR="00807867">
        <w:rPr>
          <w:rFonts w:eastAsia="Calibri" w:cs="Arial"/>
          <w:b/>
          <w:bCs/>
          <w:szCs w:val="24"/>
          <w:u w:val="single"/>
          <w:lang w:val="ru-RU" w:eastAsia="el-GR"/>
        </w:rPr>
        <w:t>, додаје се тачка 2.2) која гласи:</w:t>
      </w: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  <w:r w:rsidRPr="00807867">
        <w:rPr>
          <w:b/>
          <w:color w:val="FF0000"/>
          <w:lang w:val="sr-Cyrl-CS"/>
        </w:rPr>
        <w:t>2.2) Директна техничка подршка</w:t>
      </w:r>
      <w:r w:rsidRPr="00807867">
        <w:rPr>
          <w:color w:val="FF0000"/>
          <w:lang w:val="sr-Cyrl-CS"/>
        </w:rPr>
        <w:t>, уколико буде потребе, на писмени захтев Наручиоца, вршиће стручна лица Вршиоца услуге, на локацији Наручиоца. Директна техничка подршка се врши у случају отказа система базе података, апликативног система, односно нерегуларног рада ИС ЛПА који се не може отклонити удаље</w:t>
      </w:r>
      <w:r w:rsidR="000A2C3C">
        <w:rPr>
          <w:color w:val="FF0000"/>
          <w:lang w:val="sr-Cyrl-CS"/>
        </w:rPr>
        <w:t>ним одржавање, а за послове из т</w:t>
      </w:r>
      <w:r w:rsidRPr="00807867">
        <w:rPr>
          <w:color w:val="FF0000"/>
          <w:lang w:val="sr-Cyrl-CS"/>
        </w:rPr>
        <w:t>абеле</w:t>
      </w:r>
      <w:r w:rsidR="000A2C3C">
        <w:rPr>
          <w:color w:val="FF0000"/>
          <w:lang w:val="sr-Cyrl-CS"/>
        </w:rPr>
        <w:t>.</w:t>
      </w:r>
      <w:r w:rsidRPr="00807867">
        <w:rPr>
          <w:color w:val="FF0000"/>
          <w:lang w:val="sr-Cyrl-CS"/>
        </w:rPr>
        <w:t xml:space="preserve"> Вршилац услуге ће за сваки захтев Наручиоца одредити стручна лица која ће вршити директну техничку подршку</w:t>
      </w:r>
      <w:r w:rsidRPr="00807867">
        <w:rPr>
          <w:lang w:val="sr-Cyrl-CS"/>
        </w:rPr>
        <w:t>.</w:t>
      </w: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13"/>
      </w:tblGrid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/>
                <w:color w:val="FF0000"/>
                <w:kern w:val="1"/>
                <w:szCs w:val="24"/>
                <w:lang w:val="sr-Cyrl-RS" w:eastAsia="ar-SA"/>
              </w:rPr>
              <w:t>Послови одржавања кроз директну техничку подршку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/>
                <w:color w:val="FF0000"/>
                <w:kern w:val="1"/>
                <w:szCs w:val="24"/>
                <w:lang w:val="ru-RU" w:eastAsia="ar-SA"/>
              </w:rPr>
              <w:t xml:space="preserve">Стручна </w:t>
            </w:r>
            <w:r w:rsidRPr="00807867">
              <w:rPr>
                <w:rFonts w:eastAsia="Arial Unicode MS" w:cs="Times New Roman"/>
                <w:b/>
                <w:color w:val="FF0000"/>
                <w:kern w:val="1"/>
                <w:szCs w:val="24"/>
                <w:lang w:val="sr-Cyrl-RS" w:eastAsia="ar-SA"/>
              </w:rPr>
              <w:t>лица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 xml:space="preserve">Миграција података 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Ре-инсталација системског SW, базе података, апликативног система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Администрација-подешавање параметра-системског SW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 xml:space="preserve"> и базе података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Опоравак базе података у случају отказа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Провера података у бази података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Одржавање система заштите ИС ЛПА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техничар-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>инж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е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>ње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Провера функционалности мреже и мрежног SW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техничар-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>инж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е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>ње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Дијагностика рада система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 xml:space="preserve">техничар 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Превентива у одржавању система у целини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DA4669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техничар</w:t>
            </w:r>
          </w:p>
        </w:tc>
      </w:tr>
    </w:tbl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807867">
        <w:t xml:space="preserve">У прилогу </w:t>
      </w:r>
      <w:r w:rsidRPr="00807867">
        <w:rPr>
          <w:lang w:val="sr-Cyrl-CS"/>
        </w:rPr>
        <w:t>је</w:t>
      </w:r>
      <w:r w:rsidRPr="00807867">
        <w:t xml:space="preserve"> измењен</w:t>
      </w:r>
      <w:r w:rsidRPr="00807867">
        <w:rPr>
          <w:lang w:val="sr-Cyrl-CS"/>
        </w:rPr>
        <w:t>а</w:t>
      </w:r>
      <w:r w:rsidRPr="00807867">
        <w:t xml:space="preserve"> стран</w:t>
      </w:r>
      <w:r w:rsidRPr="00807867">
        <w:rPr>
          <w:lang w:val="sr-Cyrl-CS"/>
        </w:rPr>
        <w:t>а</w:t>
      </w:r>
      <w:r w:rsidRPr="00807867">
        <w:t xml:space="preserve"> </w:t>
      </w:r>
      <w:r>
        <w:rPr>
          <w:lang w:val="sr-Cyrl-CS"/>
        </w:rPr>
        <w:t>5</w:t>
      </w:r>
      <w:r w:rsidRPr="00807867">
        <w:rPr>
          <w:lang w:val="sr-Cyrl-CS"/>
        </w:rPr>
        <w:t xml:space="preserve">. </w:t>
      </w:r>
      <w:r w:rsidRPr="00807867">
        <w:t>конкурсне документације</w:t>
      </w:r>
      <w:r w:rsidRPr="00807867">
        <w:rPr>
          <w:lang w:val="sr-Cyrl-CS"/>
        </w:rPr>
        <w:t xml:space="preserve"> 14-2/2017 </w:t>
      </w:r>
    </w:p>
    <w:p w:rsidR="00807867" w:rsidRPr="00807867" w:rsidRDefault="00807867" w:rsidP="00807867">
      <w:pPr>
        <w:rPr>
          <w:b/>
          <w:sz w:val="22"/>
          <w:lang w:val="sr-Cyrl-CS"/>
        </w:rPr>
      </w:pPr>
      <w:r>
        <w:rPr>
          <w:b/>
          <w:color w:val="FF0000"/>
          <w:lang w:val="sr-Cyrl-CS"/>
        </w:rPr>
        <w:t xml:space="preserve">          </w:t>
      </w:r>
      <w:r w:rsidRPr="00807867">
        <w:rPr>
          <w:b/>
          <w:lang w:val="sr-Cyrl-CS"/>
        </w:rPr>
        <w:t>(</w:t>
      </w:r>
      <w:r w:rsidRPr="00807867">
        <w:rPr>
          <w:b/>
          <w:sz w:val="22"/>
          <w:lang w:val="sr-Cyrl-CS"/>
        </w:rPr>
        <w:t>Време и место подношења понуда: -нови рок дат у ОБАВЕШТЕЊУ О ПРОДУЖЕЊУ РОКА ЗА ПОДНОШЕЊЕ ПОНУДА)</w:t>
      </w:r>
    </w:p>
    <w:p w:rsidR="00807867" w:rsidRPr="00807867" w:rsidRDefault="00807867" w:rsidP="00807867">
      <w:pPr>
        <w:pStyle w:val="ListParagraph"/>
        <w:jc w:val="right"/>
        <w:rPr>
          <w:b/>
          <w:lang w:val="sr-Cyrl-CS"/>
        </w:rPr>
      </w:pPr>
      <w:r w:rsidRPr="00807867">
        <w:rPr>
          <w:b/>
          <w:lang w:val="sr-Cyrl-CS"/>
        </w:rPr>
        <w:t>Комисија</w:t>
      </w:r>
    </w:p>
    <w:p w:rsidR="00F148FB" w:rsidRPr="00807867" w:rsidRDefault="00F148FB" w:rsidP="008A4E93">
      <w:pPr>
        <w:suppressAutoHyphens/>
        <w:spacing w:after="0" w:line="100" w:lineRule="atLeast"/>
        <w:jc w:val="both"/>
        <w:rPr>
          <w:lang w:val="sr-Cyrl-CS"/>
        </w:rPr>
      </w:pP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  <w:r w:rsidRPr="00807867">
        <w:rPr>
          <w:lang w:val="sr-Cyrl-CS"/>
        </w:rPr>
        <w:t>раду програмског система и прослеђује их програмском тиму, пружа помоћ у спровођењу правила система заштите.</w:t>
      </w:r>
    </w:p>
    <w:p w:rsid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  <w:r w:rsidRPr="00807867">
        <w:rPr>
          <w:lang w:val="sr-Cyrl-CS"/>
        </w:rPr>
        <w:t>Виши ниво подршке прганизовани су кроз тимове сарадника у зависности од њихове специјализације: HW тим (одговоран за функционисање радних станица и сервера), network тим (одговоран за функционисање мреже и мрежног софтвера), апликациони тим (одговоран за функционисање апликације)</w:t>
      </w: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  <w:r w:rsidRPr="00807867">
        <w:rPr>
          <w:b/>
          <w:color w:val="FF0000"/>
          <w:lang w:val="sr-Cyrl-CS"/>
        </w:rPr>
        <w:t>2.2) Директна техничка подршка</w:t>
      </w:r>
      <w:r w:rsidRPr="00807867">
        <w:rPr>
          <w:color w:val="FF0000"/>
          <w:lang w:val="sr-Cyrl-CS"/>
        </w:rPr>
        <w:t>, уколико буде потребе, на писмени захтев Наручиоца, вршиће стручна лица Вршиоца услуге, на локацији Наручиоца. Директна техничка подршка се врши у случају отказа система базе података, апликативног система, односно нерегуларног рада ИС ЛПА који се не може отклонити удаљеним одржавање, а за послове из Табеле .1. Вршилац услуге ће за сваки захтев Наручиоца одредити стручна лица која ће вршити директну техничку подршку</w:t>
      </w:r>
      <w:r w:rsidRPr="00807867">
        <w:rPr>
          <w:lang w:val="sr-Cyrl-CS"/>
        </w:rPr>
        <w:t>.</w:t>
      </w: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13"/>
      </w:tblGrid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/>
                <w:color w:val="FF0000"/>
                <w:kern w:val="1"/>
                <w:szCs w:val="24"/>
                <w:lang w:val="sr-Cyrl-RS" w:eastAsia="ar-SA"/>
              </w:rPr>
              <w:t>Послови одржавања кроз директну техничку подршку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center"/>
              <w:rPr>
                <w:rFonts w:eastAsia="Arial Unicode MS" w:cs="Times New Roman"/>
                <w:b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/>
                <w:color w:val="FF0000"/>
                <w:kern w:val="1"/>
                <w:szCs w:val="24"/>
                <w:lang w:val="ru-RU" w:eastAsia="ar-SA"/>
              </w:rPr>
              <w:t xml:space="preserve">Стручна </w:t>
            </w:r>
            <w:r w:rsidRPr="00807867">
              <w:rPr>
                <w:rFonts w:eastAsia="Arial Unicode MS" w:cs="Times New Roman"/>
                <w:b/>
                <w:color w:val="FF0000"/>
                <w:kern w:val="1"/>
                <w:szCs w:val="24"/>
                <w:lang w:val="sr-Cyrl-RS" w:eastAsia="ar-SA"/>
              </w:rPr>
              <w:t>лица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 xml:space="preserve">Миграција података 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Ре-инсталација системског SW, базе података, апликативног система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Администрација-подешавање параметра-системског SW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 xml:space="preserve"> и базе података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Опоравак базе података у случају отказа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Провера података у бази података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инжењер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Одржавање система заштите ИС ЛПА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техничар-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>инж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е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>ње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Провера функционалности мреже и мрежног SW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техничар-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>инж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е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  <w:t>ње</w:t>
            </w: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р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Дијагностика рада система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sr-Cyrl-RS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 xml:space="preserve">техничар </w:t>
            </w:r>
          </w:p>
        </w:tc>
      </w:tr>
      <w:tr w:rsidR="00807867" w:rsidRPr="00807867" w:rsidTr="00DA4669">
        <w:tc>
          <w:tcPr>
            <w:tcW w:w="7088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Превентива у одржавању система у целини</w:t>
            </w:r>
          </w:p>
        </w:tc>
        <w:tc>
          <w:tcPr>
            <w:tcW w:w="2113" w:type="dxa"/>
            <w:shd w:val="clear" w:color="auto" w:fill="auto"/>
          </w:tcPr>
          <w:p w:rsidR="00807867" w:rsidRPr="00807867" w:rsidRDefault="00807867" w:rsidP="00807867">
            <w:pPr>
              <w:tabs>
                <w:tab w:val="left" w:pos="0"/>
                <w:tab w:val="center" w:pos="4819"/>
              </w:tabs>
              <w:suppressAutoHyphens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</w:pPr>
            <w:r w:rsidRPr="00807867">
              <w:rPr>
                <w:rFonts w:eastAsia="Arial Unicode MS" w:cs="Times New Roman"/>
                <w:bCs/>
                <w:color w:val="FF0000"/>
                <w:kern w:val="1"/>
                <w:szCs w:val="24"/>
                <w:lang w:val="ru-RU" w:eastAsia="ar-SA"/>
              </w:rPr>
              <w:t>техничар</w:t>
            </w:r>
          </w:p>
        </w:tc>
      </w:tr>
    </w:tbl>
    <w:p w:rsid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</w:p>
    <w:p w:rsid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  <w:r w:rsidRPr="00807867">
        <w:rPr>
          <w:lang w:val="sr-Cyrl-CS"/>
        </w:rPr>
        <w:t>Техничка подршка не укључује Одржавање апликативног софтвера, односно испоруку нових или измењених верзија апликативног софтвера.</w:t>
      </w: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lang w:val="sr-Cyrl-CS"/>
        </w:rPr>
      </w:pP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b/>
          <w:color w:val="FF0000"/>
          <w:u w:val="single"/>
          <w:lang w:val="sr-Cyrl-CS"/>
        </w:rPr>
      </w:pPr>
    </w:p>
    <w:p w:rsidR="00807867" w:rsidRPr="00807867" w:rsidRDefault="00807867" w:rsidP="00807867">
      <w:pPr>
        <w:suppressAutoHyphens/>
        <w:spacing w:after="0" w:line="100" w:lineRule="atLeast"/>
        <w:jc w:val="both"/>
        <w:rPr>
          <w:b/>
          <w:color w:val="FF0000"/>
          <w:u w:val="single"/>
          <w:lang w:val="sr-Cyrl-CS"/>
        </w:rPr>
      </w:pPr>
    </w:p>
    <w:p w:rsidR="00F148FB" w:rsidRDefault="00F148FB" w:rsidP="008A4E93">
      <w:pPr>
        <w:suppressAutoHyphens/>
        <w:spacing w:after="0" w:line="100" w:lineRule="atLeast"/>
        <w:jc w:val="both"/>
        <w:rPr>
          <w:b/>
          <w:color w:val="FF0000"/>
          <w:u w:val="single"/>
          <w:lang w:val="sr-Cyrl-CS"/>
        </w:rPr>
      </w:pPr>
    </w:p>
    <w:p w:rsidR="00F148FB" w:rsidRDefault="00F148FB" w:rsidP="008A4E93">
      <w:pPr>
        <w:suppressAutoHyphens/>
        <w:spacing w:after="0" w:line="100" w:lineRule="atLeast"/>
        <w:jc w:val="both"/>
        <w:rPr>
          <w:b/>
          <w:lang w:val="sr-Cyrl-CS"/>
        </w:rPr>
      </w:pPr>
    </w:p>
    <w:p w:rsidR="000C49E0" w:rsidRDefault="000C49E0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1034"/>
      </w:tblGrid>
      <w:tr w:rsidR="00807867" w:rsidRPr="00807867" w:rsidTr="00DA4669">
        <w:tc>
          <w:tcPr>
            <w:tcW w:w="8208" w:type="dxa"/>
            <w:tcBorders>
              <w:top w:val="single" w:sz="8" w:space="0" w:color="808080"/>
            </w:tcBorders>
            <w:shd w:val="clear" w:color="auto" w:fill="auto"/>
          </w:tcPr>
          <w:p w:rsidR="00807867" w:rsidRPr="00807867" w:rsidRDefault="00807867" w:rsidP="00807867">
            <w:pPr>
              <w:suppressLineNumbers/>
              <w:tabs>
                <w:tab w:val="center" w:pos="4513"/>
                <w:tab w:val="right" w:pos="9026"/>
              </w:tabs>
              <w:suppressAutoHyphens/>
              <w:spacing w:after="0" w:line="100" w:lineRule="atLeast"/>
              <w:jc w:val="center"/>
              <w:rPr>
                <w:rFonts w:eastAsia="Arial Unicode MS" w:cs="Times New Roman"/>
                <w:b/>
                <w:bCs/>
                <w:color w:val="1F497D"/>
                <w:kern w:val="1"/>
                <w:szCs w:val="24"/>
                <w:lang w:val="sr-Cyrl-CS" w:eastAsia="ar-SA"/>
              </w:rPr>
            </w:pPr>
            <w:r w:rsidRPr="00807867">
              <w:rPr>
                <w:rFonts w:eastAsia="Arial Unicode MS" w:cs="Times New Roman"/>
                <w:b/>
                <w:bCs/>
                <w:color w:val="1F497D"/>
                <w:kern w:val="1"/>
                <w:szCs w:val="24"/>
                <w:lang w:val="sr-Cyrl-RS" w:eastAsia="ar-SA"/>
              </w:rPr>
              <w:t xml:space="preserve">Конкурсна документација у преговарачком поступку без објављивања позива за подношење понуда ЈН </w:t>
            </w:r>
            <w:r w:rsidRPr="00807867">
              <w:rPr>
                <w:rFonts w:eastAsia="Arial Unicode MS" w:cs="Times New Roman"/>
                <w:b/>
                <w:bCs/>
                <w:color w:val="1F497D"/>
                <w:kern w:val="1"/>
                <w:szCs w:val="24"/>
                <w:lang w:val="sr-Cyrl-CS" w:eastAsia="ar-SA"/>
              </w:rPr>
              <w:t>14-2</w:t>
            </w:r>
            <w:r w:rsidRPr="00807867">
              <w:rPr>
                <w:rFonts w:eastAsia="Arial Unicode MS" w:cs="Times New Roman"/>
                <w:b/>
                <w:bCs/>
                <w:color w:val="1F497D"/>
                <w:kern w:val="1"/>
                <w:szCs w:val="24"/>
                <w:lang w:val="sr-Cyrl-RS" w:eastAsia="ar-SA"/>
              </w:rPr>
              <w:t>/201</w:t>
            </w:r>
            <w:r w:rsidRPr="00807867">
              <w:rPr>
                <w:rFonts w:eastAsia="Arial Unicode MS" w:cs="Times New Roman"/>
                <w:b/>
                <w:bCs/>
                <w:color w:val="1F497D"/>
                <w:kern w:val="1"/>
                <w:szCs w:val="24"/>
                <w:lang w:val="sr-Cyrl-CS" w:eastAsia="ar-SA"/>
              </w:rPr>
              <w:t>7</w:t>
            </w:r>
          </w:p>
          <w:p w:rsidR="00807867" w:rsidRPr="00807867" w:rsidRDefault="00807867" w:rsidP="00807867">
            <w:pPr>
              <w:suppressLineNumbers/>
              <w:tabs>
                <w:tab w:val="center" w:pos="4513"/>
                <w:tab w:val="right" w:pos="9026"/>
              </w:tabs>
              <w:suppressAutoHyphens/>
              <w:spacing w:after="0" w:line="100" w:lineRule="atLeast"/>
              <w:jc w:val="right"/>
              <w:rPr>
                <w:rFonts w:eastAsia="Arial Unicode MS" w:cs="Times New Roman"/>
                <w:b/>
                <w:bCs/>
                <w:color w:val="1F497D"/>
                <w:kern w:val="1"/>
                <w:szCs w:val="24"/>
                <w:lang w:val="sr-Cyrl-CS" w:eastAsia="ar-SA"/>
              </w:rPr>
            </w:pPr>
          </w:p>
          <w:p w:rsidR="00807867" w:rsidRPr="00807867" w:rsidRDefault="00807867" w:rsidP="00807867">
            <w:pPr>
              <w:suppressLineNumbers/>
              <w:tabs>
                <w:tab w:val="center" w:pos="4513"/>
                <w:tab w:val="right" w:pos="9026"/>
              </w:tabs>
              <w:suppressAutoHyphens/>
              <w:spacing w:after="0" w:line="100" w:lineRule="atLeast"/>
              <w:jc w:val="right"/>
              <w:rPr>
                <w:rFonts w:eastAsia="Arial Unicode MS" w:cs="Times New Roman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807867" w:rsidRPr="00807867" w:rsidRDefault="00807867" w:rsidP="00807867">
            <w:pPr>
              <w:suppressLineNumbers/>
              <w:tabs>
                <w:tab w:val="center" w:pos="4513"/>
                <w:tab w:val="right" w:pos="9026"/>
              </w:tabs>
              <w:suppressAutoHyphens/>
              <w:spacing w:after="0" w:line="100" w:lineRule="atLeast"/>
              <w:rPr>
                <w:rFonts w:eastAsia="Arial Unicode MS" w:cs="Times New Roman"/>
                <w:color w:val="FF0000"/>
                <w:kern w:val="1"/>
                <w:szCs w:val="24"/>
                <w:lang w:eastAsia="ar-SA"/>
              </w:rPr>
            </w:pPr>
            <w:r w:rsidRPr="00807867">
              <w:rPr>
                <w:rFonts w:eastAsia="Arial Unicode MS" w:cs="Times New Roman"/>
                <w:b/>
                <w:bCs/>
                <w:color w:val="FF0000"/>
                <w:kern w:val="1"/>
                <w:szCs w:val="24"/>
                <w:lang w:eastAsia="ar-SA"/>
              </w:rPr>
              <w:fldChar w:fldCharType="begin"/>
            </w:r>
            <w:r w:rsidRPr="00807867">
              <w:rPr>
                <w:rFonts w:eastAsia="Arial Unicode MS" w:cs="Times New Roman"/>
                <w:b/>
                <w:bCs/>
                <w:color w:val="FF0000"/>
                <w:kern w:val="1"/>
                <w:szCs w:val="24"/>
                <w:lang w:eastAsia="ar-SA"/>
              </w:rPr>
              <w:instrText xml:space="preserve"> PAGE </w:instrText>
            </w:r>
            <w:r w:rsidRPr="00807867">
              <w:rPr>
                <w:rFonts w:eastAsia="Arial Unicode MS" w:cs="Times New Roman"/>
                <w:b/>
                <w:bCs/>
                <w:color w:val="FF0000"/>
                <w:kern w:val="1"/>
                <w:szCs w:val="24"/>
                <w:lang w:eastAsia="ar-SA"/>
              </w:rPr>
              <w:fldChar w:fldCharType="separate"/>
            </w:r>
            <w:r w:rsidR="00514618">
              <w:rPr>
                <w:rFonts w:eastAsia="Arial Unicode MS" w:cs="Times New Roman"/>
                <w:b/>
                <w:bCs/>
                <w:noProof/>
                <w:color w:val="FF0000"/>
                <w:kern w:val="1"/>
                <w:szCs w:val="24"/>
                <w:lang w:eastAsia="ar-SA"/>
              </w:rPr>
              <w:t>2</w:t>
            </w:r>
            <w:r w:rsidRPr="00807867">
              <w:rPr>
                <w:rFonts w:eastAsia="Arial Unicode MS" w:cs="Times New Roman"/>
                <w:b/>
                <w:bCs/>
                <w:color w:val="FF0000"/>
                <w:kern w:val="1"/>
                <w:szCs w:val="24"/>
                <w:lang w:eastAsia="ar-SA"/>
              </w:rPr>
              <w:fldChar w:fldCharType="end"/>
            </w:r>
            <w:r w:rsidRPr="00807867">
              <w:rPr>
                <w:rFonts w:eastAsia="Arial Unicode MS" w:cs="Times New Roman"/>
                <w:color w:val="FF0000"/>
                <w:kern w:val="1"/>
                <w:szCs w:val="24"/>
                <w:lang w:val="sr-Cyrl-RS" w:eastAsia="ar-SA"/>
              </w:rPr>
              <w:t>/</w:t>
            </w:r>
            <w:r w:rsidRPr="00807867">
              <w:rPr>
                <w:rFonts w:eastAsia="Arial Unicode MS" w:cs="Times New Roman"/>
                <w:b/>
                <w:bCs/>
                <w:color w:val="FF0000"/>
                <w:kern w:val="1"/>
                <w:szCs w:val="24"/>
                <w:lang w:eastAsia="ar-SA"/>
              </w:rPr>
              <w:fldChar w:fldCharType="begin"/>
            </w:r>
            <w:r w:rsidRPr="00807867">
              <w:rPr>
                <w:rFonts w:eastAsia="Arial Unicode MS" w:cs="Times New Roman"/>
                <w:b/>
                <w:bCs/>
                <w:color w:val="FF0000"/>
                <w:kern w:val="1"/>
                <w:szCs w:val="24"/>
                <w:lang w:eastAsia="ar-SA"/>
              </w:rPr>
              <w:instrText xml:space="preserve"> NUMPAGES \*Arabic </w:instrText>
            </w:r>
            <w:r w:rsidRPr="00807867">
              <w:rPr>
                <w:rFonts w:eastAsia="Arial Unicode MS" w:cs="Times New Roman"/>
                <w:b/>
                <w:bCs/>
                <w:color w:val="FF0000"/>
                <w:kern w:val="1"/>
                <w:szCs w:val="24"/>
                <w:lang w:eastAsia="ar-SA"/>
              </w:rPr>
              <w:fldChar w:fldCharType="separate"/>
            </w:r>
            <w:r w:rsidR="00514618">
              <w:rPr>
                <w:rFonts w:eastAsia="Arial Unicode MS" w:cs="Times New Roman"/>
                <w:b/>
                <w:bCs/>
                <w:noProof/>
                <w:color w:val="FF0000"/>
                <w:kern w:val="1"/>
                <w:szCs w:val="24"/>
                <w:lang w:eastAsia="ar-SA"/>
              </w:rPr>
              <w:t>2</w:t>
            </w:r>
            <w:r w:rsidRPr="00807867">
              <w:rPr>
                <w:rFonts w:eastAsia="Arial Unicode MS" w:cs="Times New Roman"/>
                <w:b/>
                <w:bCs/>
                <w:color w:val="FF0000"/>
                <w:kern w:val="1"/>
                <w:szCs w:val="24"/>
                <w:lang w:eastAsia="ar-SA"/>
              </w:rPr>
              <w:fldChar w:fldCharType="end"/>
            </w:r>
          </w:p>
        </w:tc>
      </w:tr>
    </w:tbl>
    <w:p w:rsidR="000C49E0" w:rsidRDefault="000C49E0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sectPr w:rsidR="000C49E0" w:rsidSect="00BC1071">
      <w:footerReference w:type="default" r:id="rId9"/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E3" w:rsidRDefault="003749E3" w:rsidP="005773DC">
      <w:pPr>
        <w:spacing w:after="0" w:line="240" w:lineRule="auto"/>
      </w:pPr>
      <w:r>
        <w:separator/>
      </w:r>
    </w:p>
  </w:endnote>
  <w:endnote w:type="continuationSeparator" w:id="0">
    <w:p w:rsidR="003749E3" w:rsidRDefault="003749E3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8A" w:rsidRPr="002C538A" w:rsidRDefault="002C538A" w:rsidP="002C538A">
    <w:pPr>
      <w:tabs>
        <w:tab w:val="center" w:pos="4535"/>
        <w:tab w:val="right" w:pos="9071"/>
      </w:tabs>
      <w:spacing w:after="0" w:line="240" w:lineRule="auto"/>
      <w:jc w:val="center"/>
      <w:rPr>
        <w:rFonts w:eastAsia="Times New Roman" w:cs="Times New Roman"/>
        <w:szCs w:val="24"/>
        <w:lang w:val="sr-Cyrl-CS"/>
      </w:rPr>
    </w:pPr>
  </w:p>
  <w:p w:rsidR="002C538A" w:rsidRPr="002C538A" w:rsidRDefault="002C538A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E3" w:rsidRDefault="003749E3" w:rsidP="005773DC">
      <w:pPr>
        <w:spacing w:after="0" w:line="240" w:lineRule="auto"/>
      </w:pPr>
      <w:r>
        <w:separator/>
      </w:r>
    </w:p>
  </w:footnote>
  <w:footnote w:type="continuationSeparator" w:id="0">
    <w:p w:rsidR="003749E3" w:rsidRDefault="003749E3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56244"/>
    <w:rsid w:val="00063247"/>
    <w:rsid w:val="00064872"/>
    <w:rsid w:val="00073491"/>
    <w:rsid w:val="0007450E"/>
    <w:rsid w:val="00082A9C"/>
    <w:rsid w:val="000857B7"/>
    <w:rsid w:val="000A2C3C"/>
    <w:rsid w:val="000C49E0"/>
    <w:rsid w:val="000D1E63"/>
    <w:rsid w:val="000E0020"/>
    <w:rsid w:val="000F075A"/>
    <w:rsid w:val="00100502"/>
    <w:rsid w:val="00105C56"/>
    <w:rsid w:val="00137769"/>
    <w:rsid w:val="00152E34"/>
    <w:rsid w:val="0015326C"/>
    <w:rsid w:val="00163FFC"/>
    <w:rsid w:val="001769F2"/>
    <w:rsid w:val="00192237"/>
    <w:rsid w:val="001C5AA5"/>
    <w:rsid w:val="00213FCC"/>
    <w:rsid w:val="0022548E"/>
    <w:rsid w:val="002436B1"/>
    <w:rsid w:val="00246A14"/>
    <w:rsid w:val="002532C9"/>
    <w:rsid w:val="00275945"/>
    <w:rsid w:val="0028705B"/>
    <w:rsid w:val="00292220"/>
    <w:rsid w:val="00297DD1"/>
    <w:rsid w:val="002C19E6"/>
    <w:rsid w:val="002C538A"/>
    <w:rsid w:val="002E19D6"/>
    <w:rsid w:val="002F74B1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749E3"/>
    <w:rsid w:val="003B7F1D"/>
    <w:rsid w:val="003D3D08"/>
    <w:rsid w:val="003E3B66"/>
    <w:rsid w:val="00407A84"/>
    <w:rsid w:val="004323F9"/>
    <w:rsid w:val="00467701"/>
    <w:rsid w:val="004854C1"/>
    <w:rsid w:val="004C5158"/>
    <w:rsid w:val="00510796"/>
    <w:rsid w:val="00514618"/>
    <w:rsid w:val="00515B05"/>
    <w:rsid w:val="00536766"/>
    <w:rsid w:val="00541120"/>
    <w:rsid w:val="0057223A"/>
    <w:rsid w:val="00574E74"/>
    <w:rsid w:val="00575CC7"/>
    <w:rsid w:val="005773DC"/>
    <w:rsid w:val="005C34CA"/>
    <w:rsid w:val="005D38B1"/>
    <w:rsid w:val="005F235A"/>
    <w:rsid w:val="00601157"/>
    <w:rsid w:val="006474AB"/>
    <w:rsid w:val="00650411"/>
    <w:rsid w:val="00651EE9"/>
    <w:rsid w:val="00657B4B"/>
    <w:rsid w:val="0067276D"/>
    <w:rsid w:val="00677783"/>
    <w:rsid w:val="006877F3"/>
    <w:rsid w:val="00694979"/>
    <w:rsid w:val="006964B5"/>
    <w:rsid w:val="006A3276"/>
    <w:rsid w:val="006A37D6"/>
    <w:rsid w:val="006D06A9"/>
    <w:rsid w:val="006D226A"/>
    <w:rsid w:val="006E7A61"/>
    <w:rsid w:val="006F7D4E"/>
    <w:rsid w:val="00713D54"/>
    <w:rsid w:val="00717663"/>
    <w:rsid w:val="00741A12"/>
    <w:rsid w:val="00750562"/>
    <w:rsid w:val="00752D19"/>
    <w:rsid w:val="00777E26"/>
    <w:rsid w:val="00793716"/>
    <w:rsid w:val="007B5C9A"/>
    <w:rsid w:val="007B787D"/>
    <w:rsid w:val="007E45C1"/>
    <w:rsid w:val="007E6993"/>
    <w:rsid w:val="00804F3E"/>
    <w:rsid w:val="00807867"/>
    <w:rsid w:val="008103A1"/>
    <w:rsid w:val="0081449D"/>
    <w:rsid w:val="008235C7"/>
    <w:rsid w:val="00841F0A"/>
    <w:rsid w:val="00856C12"/>
    <w:rsid w:val="008672AD"/>
    <w:rsid w:val="0088028C"/>
    <w:rsid w:val="00890092"/>
    <w:rsid w:val="00892189"/>
    <w:rsid w:val="00894958"/>
    <w:rsid w:val="008A4E93"/>
    <w:rsid w:val="008C64F2"/>
    <w:rsid w:val="008D69A0"/>
    <w:rsid w:val="008F29B9"/>
    <w:rsid w:val="00923AFC"/>
    <w:rsid w:val="00930A33"/>
    <w:rsid w:val="00943566"/>
    <w:rsid w:val="00961C7E"/>
    <w:rsid w:val="00971DE1"/>
    <w:rsid w:val="009758AE"/>
    <w:rsid w:val="009874EE"/>
    <w:rsid w:val="00992477"/>
    <w:rsid w:val="009A4343"/>
    <w:rsid w:val="009B58BD"/>
    <w:rsid w:val="009C2530"/>
    <w:rsid w:val="009E1810"/>
    <w:rsid w:val="009E336D"/>
    <w:rsid w:val="00A11DFD"/>
    <w:rsid w:val="00A27B35"/>
    <w:rsid w:val="00A42003"/>
    <w:rsid w:val="00A44A8C"/>
    <w:rsid w:val="00A6244E"/>
    <w:rsid w:val="00A715AB"/>
    <w:rsid w:val="00A73E12"/>
    <w:rsid w:val="00AC4357"/>
    <w:rsid w:val="00AD1750"/>
    <w:rsid w:val="00AF346B"/>
    <w:rsid w:val="00B02F03"/>
    <w:rsid w:val="00B13AFB"/>
    <w:rsid w:val="00B32186"/>
    <w:rsid w:val="00B470F6"/>
    <w:rsid w:val="00B5174C"/>
    <w:rsid w:val="00B67509"/>
    <w:rsid w:val="00B82213"/>
    <w:rsid w:val="00B87BB6"/>
    <w:rsid w:val="00BC1071"/>
    <w:rsid w:val="00BE03BA"/>
    <w:rsid w:val="00BE68C8"/>
    <w:rsid w:val="00C13277"/>
    <w:rsid w:val="00C176EB"/>
    <w:rsid w:val="00C36B23"/>
    <w:rsid w:val="00C66F5F"/>
    <w:rsid w:val="00C673D1"/>
    <w:rsid w:val="00C7758D"/>
    <w:rsid w:val="00C80AF2"/>
    <w:rsid w:val="00CD3256"/>
    <w:rsid w:val="00CD79BF"/>
    <w:rsid w:val="00CF5D35"/>
    <w:rsid w:val="00D31922"/>
    <w:rsid w:val="00D52EE9"/>
    <w:rsid w:val="00D560FC"/>
    <w:rsid w:val="00D931D8"/>
    <w:rsid w:val="00DC4D34"/>
    <w:rsid w:val="00E05CDD"/>
    <w:rsid w:val="00E1579B"/>
    <w:rsid w:val="00E17E52"/>
    <w:rsid w:val="00E23621"/>
    <w:rsid w:val="00E50A80"/>
    <w:rsid w:val="00E62C2B"/>
    <w:rsid w:val="00E62EA7"/>
    <w:rsid w:val="00E63575"/>
    <w:rsid w:val="00E90B9A"/>
    <w:rsid w:val="00E94DD7"/>
    <w:rsid w:val="00EB50ED"/>
    <w:rsid w:val="00EC71E1"/>
    <w:rsid w:val="00EC7C81"/>
    <w:rsid w:val="00ED0B06"/>
    <w:rsid w:val="00ED359B"/>
    <w:rsid w:val="00EE2C6F"/>
    <w:rsid w:val="00EF312F"/>
    <w:rsid w:val="00F02ECA"/>
    <w:rsid w:val="00F148FB"/>
    <w:rsid w:val="00F15584"/>
    <w:rsid w:val="00F2177F"/>
    <w:rsid w:val="00F42E5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uiPriority w:val="34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uiPriority w:val="59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uiPriority w:val="22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uiPriority w:val="34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uiPriority w:val="59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uiPriority w:val="22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414B-3E54-4FD1-91D0-0374222D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27</cp:revision>
  <cp:lastPrinted>2017-07-31T12:00:00Z</cp:lastPrinted>
  <dcterms:created xsi:type="dcterms:W3CDTF">2015-10-06T09:32:00Z</dcterms:created>
  <dcterms:modified xsi:type="dcterms:W3CDTF">2017-07-31T12:00:00Z</dcterms:modified>
</cp:coreProperties>
</file>