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C6" w:rsidRPr="00235FC6" w:rsidRDefault="00235FC6" w:rsidP="00235FC6">
      <w:pPr>
        <w:rPr>
          <w:lang w:val="sr-Cyrl-CS" w:eastAsia="sr-Latn-CS"/>
        </w:rPr>
      </w:pPr>
      <w:r w:rsidRPr="00235FC6">
        <w:rPr>
          <w:lang w:val="sr-Cyrl-CS" w:eastAsia="sr-Latn-CS"/>
        </w:rPr>
        <w:t xml:space="preserve">Р е п у б л и к а  С р б и ј а 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>ОПШТИНА ИВАЊИЦА</w:t>
      </w:r>
    </w:p>
    <w:p w:rsidR="00235FC6" w:rsidRPr="00235FC6" w:rsidRDefault="00703F13" w:rsidP="00235FC6">
      <w:pPr>
        <w:rPr>
          <w:lang w:val="sr-Latn-CS" w:eastAsia="sr-Latn-CS"/>
        </w:rPr>
      </w:pPr>
      <w:r>
        <w:rPr>
          <w:lang w:val="sr-Cyrl-CS" w:eastAsia="sr-Latn-CS"/>
        </w:rPr>
        <w:t>05 Број: 404-</w:t>
      </w:r>
      <w:r>
        <w:rPr>
          <w:lang w:val="sr-Latn-CS" w:eastAsia="sr-Latn-CS"/>
        </w:rPr>
        <w:t>2-1</w:t>
      </w:r>
      <w:r w:rsidR="00433BEE">
        <w:rPr>
          <w:lang w:val="sr-Cyrl-CS" w:eastAsia="sr-Latn-CS"/>
        </w:rPr>
        <w:t>/201</w:t>
      </w:r>
      <w:r>
        <w:rPr>
          <w:lang w:val="sr-Latn-CS" w:eastAsia="sr-Latn-CS"/>
        </w:rPr>
        <w:t>6</w:t>
      </w:r>
    </w:p>
    <w:p w:rsidR="00235FC6" w:rsidRPr="00235FC6" w:rsidRDefault="00703F13" w:rsidP="00235FC6">
      <w:pPr>
        <w:rPr>
          <w:lang w:val="sr-Cyrl-CS" w:eastAsia="sr-Latn-CS"/>
        </w:rPr>
      </w:pPr>
      <w:r>
        <w:rPr>
          <w:lang w:val="sr-Latn-CS" w:eastAsia="sr-Latn-CS"/>
        </w:rPr>
        <w:t>18</w:t>
      </w:r>
      <w:r w:rsidR="00235FC6" w:rsidRPr="00235FC6">
        <w:rPr>
          <w:lang w:val="sr-Cyrl-CS" w:eastAsia="sr-Latn-CS"/>
        </w:rPr>
        <w:t>.</w:t>
      </w:r>
      <w:r>
        <w:rPr>
          <w:lang w:val="sr-Latn-CS" w:eastAsia="sr-Latn-CS"/>
        </w:rPr>
        <w:t>11</w:t>
      </w:r>
      <w:r w:rsidR="00235FC6" w:rsidRPr="00235FC6">
        <w:rPr>
          <w:lang w:val="sr-Cyrl-CS" w:eastAsia="sr-Latn-CS"/>
        </w:rPr>
        <w:t>.201</w:t>
      </w:r>
      <w:r>
        <w:rPr>
          <w:lang w:val="sr-Latn-CS" w:eastAsia="sr-Latn-CS"/>
        </w:rPr>
        <w:t>6</w:t>
      </w:r>
      <w:r w:rsidR="00235FC6" w:rsidRPr="00235FC6">
        <w:rPr>
          <w:lang w:val="sr-Cyrl-CS" w:eastAsia="sr-Latn-CS"/>
        </w:rPr>
        <w:t>. године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 xml:space="preserve">И в а њ и ц а  </w:t>
      </w:r>
    </w:p>
    <w:p w:rsidR="00235FC6" w:rsidRDefault="00235FC6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235FC6" w:rsidRDefault="0064734B" w:rsidP="00433BEE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" </w:t>
      </w:r>
      <w:proofErr w:type="spellStart"/>
      <w:r>
        <w:t>бр</w:t>
      </w:r>
      <w:proofErr w:type="spellEnd"/>
      <w:r>
        <w:t>. 124/2012</w:t>
      </w:r>
      <w:r w:rsidR="00433BEE">
        <w:t xml:space="preserve">, </w:t>
      </w:r>
      <w:r w:rsidR="00433BEE">
        <w:rPr>
          <w:rFonts w:eastAsia="TimesNewRomanPSMT"/>
          <w:kern w:val="2"/>
          <w:lang w:val="sr-Cyrl-CS"/>
        </w:rPr>
        <w:t xml:space="preserve">14/2015 и </w:t>
      </w:r>
      <w:r w:rsidR="00433BEE" w:rsidRPr="006A4901">
        <w:rPr>
          <w:rFonts w:eastAsia="TimesNewRomanPSMT"/>
          <w:kern w:val="2"/>
          <w:lang w:val="sr-Cyrl-CS"/>
        </w:rPr>
        <w:t>68/2015</w:t>
      </w:r>
      <w:r>
        <w:t xml:space="preserve">) </w:t>
      </w:r>
      <w:r w:rsidR="00235FC6">
        <w:rPr>
          <w:lang w:val="sr-Cyrl-CS"/>
        </w:rPr>
        <w:t xml:space="preserve">Комисија за спровођење поступка </w:t>
      </w:r>
      <w:r w:rsidR="00703F13" w:rsidRPr="00703F13">
        <w:rPr>
          <w:rFonts w:eastAsiaTheme="minorHAnsi" w:cstheme="minorBidi"/>
          <w:szCs w:val="22"/>
          <w:lang w:val="sr-Latn-CS"/>
        </w:rPr>
        <w:t xml:space="preserve">за јавну набавку </w:t>
      </w:r>
      <w:r w:rsidR="00703F13" w:rsidRPr="00703F13">
        <w:rPr>
          <w:lang w:val="sr-Cyrl-CS"/>
        </w:rPr>
        <w:t>радова</w:t>
      </w:r>
      <w:r w:rsidR="00703F13" w:rsidRPr="00703F13">
        <w:rPr>
          <w:lang w:val="sr-Latn-CS"/>
        </w:rPr>
        <w:t xml:space="preserve"> </w:t>
      </w:r>
      <w:r w:rsidR="00703F13" w:rsidRPr="00703F13">
        <w:rPr>
          <w:lang w:val="sr-Cyrl-CS"/>
        </w:rPr>
        <w:t>–</w:t>
      </w:r>
      <w:r w:rsidR="00703F13" w:rsidRPr="00703F13">
        <w:rPr>
          <w:b/>
          <w:lang w:val="ru-RU"/>
        </w:rPr>
        <w:t xml:space="preserve"> </w:t>
      </w:r>
      <w:r w:rsidR="00703F13" w:rsidRPr="00703F13">
        <w:rPr>
          <w:lang w:val="sr-Cyrl-CS"/>
        </w:rPr>
        <w:t xml:space="preserve">„Грађевински радови на адаптацији објекта бр.6 (Медицина рада) у саставу </w:t>
      </w:r>
      <w:r w:rsidR="00703F13">
        <w:rPr>
          <w:lang w:val="sr-Cyrl-CS"/>
        </w:rPr>
        <w:t>комплекса Дома здравља Ивањица“</w:t>
      </w:r>
      <w:proofErr w:type="gramStart"/>
      <w:r w:rsidR="00703F13">
        <w:rPr>
          <w:lang w:val="sr-Latn-CS"/>
        </w:rPr>
        <w:t>,</w:t>
      </w:r>
      <w:r w:rsidR="00433BEE">
        <w:rPr>
          <w:lang w:val="sr-Latn-CS" w:eastAsia="ar-SA"/>
        </w:rPr>
        <w:t xml:space="preserve"> </w:t>
      </w:r>
      <w:r w:rsidR="00235FC6">
        <w:rPr>
          <w:lang w:val="sr-Cyrl-CS"/>
        </w:rPr>
        <w:t xml:space="preserve"> </w:t>
      </w:r>
      <w:r w:rsidR="00433BEE">
        <w:rPr>
          <w:lang w:val="sr-Cyrl-CS"/>
        </w:rPr>
        <w:t>објављује</w:t>
      </w:r>
      <w:proofErr w:type="gramEnd"/>
      <w:r w:rsidR="00235FC6">
        <w:rPr>
          <w:lang w:val="sr-Cyrl-CS"/>
        </w:rPr>
        <w:t xml:space="preserve"> следеће</w:t>
      </w:r>
    </w:p>
    <w:p w:rsidR="00235FC6" w:rsidRDefault="00235FC6" w:rsidP="00235FC6">
      <w:pPr>
        <w:jc w:val="both"/>
        <w:rPr>
          <w:lang w:val="sr-Cyrl-CS"/>
        </w:rPr>
      </w:pPr>
    </w:p>
    <w:p w:rsidR="00E6789B" w:rsidRDefault="00235FC6" w:rsidP="00E6789B">
      <w:pPr>
        <w:spacing w:after="200" w:line="276" w:lineRule="auto"/>
        <w:jc w:val="center"/>
        <w:rPr>
          <w:rFonts w:eastAsia="Calibri"/>
          <w:szCs w:val="22"/>
          <w:lang w:val="sr-Cyrl-CS"/>
        </w:rPr>
      </w:pPr>
      <w:r>
        <w:rPr>
          <w:rFonts w:eastAsia="Calibri"/>
          <w:b/>
          <w:szCs w:val="22"/>
          <w:lang w:val="sr-Latn-CS"/>
        </w:rPr>
        <w:t xml:space="preserve">Појашњење </w:t>
      </w:r>
      <w:r>
        <w:rPr>
          <w:rFonts w:eastAsia="Calibri"/>
          <w:b/>
          <w:szCs w:val="22"/>
          <w:lang w:val="sr-Cyrl-CS"/>
        </w:rPr>
        <w:t>к</w:t>
      </w:r>
      <w:r>
        <w:rPr>
          <w:rFonts w:eastAsia="Calibri"/>
          <w:b/>
          <w:szCs w:val="22"/>
          <w:lang w:val="sr-Latn-CS"/>
        </w:rPr>
        <w:t>онкурсне документације</w:t>
      </w:r>
      <w:r w:rsidR="00681FF8">
        <w:rPr>
          <w:rFonts w:eastAsia="Calibri"/>
          <w:b/>
          <w:szCs w:val="22"/>
          <w:lang w:val="sr-Latn-CS"/>
        </w:rPr>
        <w:t xml:space="preserve"> </w:t>
      </w:r>
      <w:r w:rsidR="00433BEE">
        <w:rPr>
          <w:rFonts w:eastAsia="Calibri"/>
          <w:b/>
          <w:szCs w:val="22"/>
          <w:lang w:val="sr-Cyrl-CS"/>
        </w:rPr>
        <w:t xml:space="preserve">број </w:t>
      </w:r>
      <w:r w:rsidR="00703F13">
        <w:rPr>
          <w:rFonts w:eastAsia="Calibri"/>
          <w:b/>
          <w:szCs w:val="22"/>
          <w:lang w:val="sr-Latn-CS"/>
        </w:rPr>
        <w:t>404-2-1/2016</w:t>
      </w:r>
      <w:r w:rsidR="00681FF8">
        <w:rPr>
          <w:rFonts w:eastAsia="Calibri"/>
          <w:b/>
          <w:szCs w:val="22"/>
          <w:lang w:val="sr-Cyrl-CS"/>
        </w:rPr>
        <w:t xml:space="preserve"> </w:t>
      </w:r>
    </w:p>
    <w:p w:rsidR="00235FC6" w:rsidRPr="00E6789B" w:rsidRDefault="00235FC6" w:rsidP="00E6789B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Latn-CS"/>
        </w:rPr>
        <w:t xml:space="preserve">У вези са конкурсном документацијом </w:t>
      </w:r>
      <w:r w:rsidR="0064734B">
        <w:rPr>
          <w:rFonts w:eastAsia="Calibri"/>
          <w:szCs w:val="22"/>
          <w:lang w:val="sr-Cyrl-CS"/>
        </w:rPr>
        <w:t xml:space="preserve">број </w:t>
      </w:r>
      <w:r w:rsidR="00703F13">
        <w:rPr>
          <w:rFonts w:eastAsia="Calibri"/>
          <w:b/>
          <w:szCs w:val="22"/>
          <w:lang w:val="sr-Latn-CS"/>
        </w:rPr>
        <w:t>404-2-1/2016</w:t>
      </w:r>
      <w:r w:rsidR="00E6789B">
        <w:rPr>
          <w:rFonts w:eastAsia="Calibri"/>
          <w:szCs w:val="22"/>
          <w:lang w:val="sr-Cyrl-CS"/>
        </w:rPr>
        <w:t xml:space="preserve"> </w:t>
      </w:r>
      <w:r w:rsidR="00703F13" w:rsidRPr="00703F13">
        <w:rPr>
          <w:lang w:val="sr-Cyrl-CS"/>
        </w:rPr>
        <w:t>–</w:t>
      </w:r>
      <w:r w:rsidR="00703F13" w:rsidRPr="00703F13">
        <w:rPr>
          <w:b/>
          <w:lang w:val="ru-RU"/>
        </w:rPr>
        <w:t xml:space="preserve"> </w:t>
      </w:r>
      <w:r w:rsidR="00703F13" w:rsidRPr="00703F13">
        <w:rPr>
          <w:lang w:val="sr-Cyrl-CS"/>
        </w:rPr>
        <w:t xml:space="preserve">„Грађевински радови на адаптацији објекта бр.6 (Медицина рада) у саставу </w:t>
      </w:r>
      <w:r w:rsidR="00703F13">
        <w:rPr>
          <w:lang w:val="sr-Cyrl-CS"/>
        </w:rPr>
        <w:t>комплекса Дома здравља Ивањица</w:t>
      </w:r>
      <w:r w:rsidR="00E6789B">
        <w:rPr>
          <w:lang w:val="sr-Cyrl-CS"/>
        </w:rPr>
        <w:t>“</w:t>
      </w:r>
      <w:r w:rsidR="00703F13">
        <w:rPr>
          <w:lang w:val="sr-Latn-CS"/>
        </w:rPr>
        <w:t>,</w:t>
      </w:r>
      <w:r>
        <w:rPr>
          <w:rFonts w:eastAsia="Calibri"/>
          <w:szCs w:val="22"/>
          <w:lang w:val="sr-Latn-CS"/>
        </w:rPr>
        <w:t xml:space="preserve"> </w:t>
      </w:r>
      <w:r>
        <w:rPr>
          <w:rFonts w:eastAsia="Calibri"/>
          <w:szCs w:val="22"/>
          <w:lang w:val="sr-Cyrl-CS"/>
        </w:rPr>
        <w:t xml:space="preserve">а </w:t>
      </w:r>
      <w:r w:rsidR="0064734B">
        <w:rPr>
          <w:rFonts w:eastAsia="Calibri"/>
          <w:szCs w:val="22"/>
          <w:lang w:val="sr-Latn-CS"/>
        </w:rPr>
        <w:t xml:space="preserve">која је објављена на </w:t>
      </w:r>
      <w:r w:rsidR="0064734B">
        <w:rPr>
          <w:rFonts w:eastAsia="Calibri"/>
          <w:szCs w:val="22"/>
          <w:lang w:val="sr-Cyrl-CS"/>
        </w:rPr>
        <w:t>П</w:t>
      </w:r>
      <w:r>
        <w:rPr>
          <w:rFonts w:eastAsia="Calibri"/>
          <w:szCs w:val="22"/>
          <w:lang w:val="sr-Latn-CS"/>
        </w:rPr>
        <w:t>орталу</w:t>
      </w:r>
      <w:r w:rsidR="0064734B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Latn-CS"/>
        </w:rPr>
        <w:t xml:space="preserve">и на интернет страници наручиоца </w:t>
      </w:r>
      <w:r w:rsidR="00433BEE" w:rsidRPr="00433BEE">
        <w:rPr>
          <w:rFonts w:eastAsia="Calibri"/>
          <w:color w:val="0000FF"/>
        </w:rPr>
        <w:t>www.ivanjica.gov.rs</w:t>
      </w:r>
      <w:r>
        <w:rPr>
          <w:rFonts w:eastAsia="Calibri"/>
          <w:color w:val="0000FF"/>
        </w:rPr>
        <w:t xml:space="preserve">, </w:t>
      </w:r>
      <w:r>
        <w:rPr>
          <w:rFonts w:eastAsia="Calibri"/>
          <w:szCs w:val="22"/>
          <w:lang w:val="sr-Latn-CS"/>
        </w:rPr>
        <w:t>заинтересова</w:t>
      </w:r>
      <w:r>
        <w:rPr>
          <w:rFonts w:eastAsia="Calibri"/>
          <w:szCs w:val="22"/>
          <w:lang w:val="sr-Cyrl-CS"/>
        </w:rPr>
        <w:t>но лице</w:t>
      </w:r>
      <w:r>
        <w:rPr>
          <w:rFonts w:eastAsia="Calibri"/>
          <w:szCs w:val="22"/>
          <w:lang w:val="sr-Latn-CS"/>
        </w:rPr>
        <w:t xml:space="preserve"> затраж</w:t>
      </w:r>
      <w:r>
        <w:rPr>
          <w:rFonts w:eastAsia="Calibri"/>
          <w:szCs w:val="22"/>
          <w:lang w:val="sr-Cyrl-CS"/>
        </w:rPr>
        <w:t xml:space="preserve">ило </w:t>
      </w:r>
      <w:r>
        <w:rPr>
          <w:rFonts w:eastAsia="Calibri"/>
          <w:szCs w:val="22"/>
          <w:lang w:val="sr-Latn-CS"/>
        </w:rPr>
        <w:t>је додатна појашњења</w:t>
      </w:r>
      <w:r>
        <w:rPr>
          <w:rFonts w:eastAsia="Calibri"/>
          <w:szCs w:val="22"/>
          <w:lang w:val="sr-Cyrl-CS"/>
        </w:rPr>
        <w:t xml:space="preserve"> конкурсне документације </w:t>
      </w:r>
      <w:r w:rsidRPr="00E6789B">
        <w:rPr>
          <w:rFonts w:eastAsia="Calibri"/>
          <w:szCs w:val="22"/>
          <w:lang w:val="sr-Latn-CS"/>
        </w:rPr>
        <w:t xml:space="preserve">и </w:t>
      </w:r>
      <w:r w:rsidRPr="00E6789B">
        <w:rPr>
          <w:rFonts w:eastAsia="Calibri"/>
          <w:szCs w:val="22"/>
          <w:lang w:val="sr-Cyrl-CS"/>
        </w:rPr>
        <w:t>при томе навело</w:t>
      </w:r>
      <w:r w:rsidRPr="00E6789B">
        <w:rPr>
          <w:rFonts w:eastAsia="Calibri"/>
          <w:szCs w:val="22"/>
          <w:lang w:val="sr-Latn-CS"/>
        </w:rPr>
        <w:t>:</w:t>
      </w:r>
      <w:r w:rsidRPr="00E6789B">
        <w:rPr>
          <w:rFonts w:eastAsia="Calibri"/>
          <w:b/>
          <w:szCs w:val="22"/>
          <w:lang w:val="sr-Latn-CS"/>
        </w:rPr>
        <w:t xml:space="preserve"> </w:t>
      </w:r>
    </w:p>
    <w:p w:rsidR="00703F13" w:rsidRPr="00703F13" w:rsidRDefault="00D52662" w:rsidP="00D52662">
      <w:pPr>
        <w:spacing w:after="200" w:line="276" w:lineRule="auto"/>
        <w:jc w:val="both"/>
        <w:rPr>
          <w:rFonts w:eastAsiaTheme="minorHAnsi"/>
          <w:lang w:val="sr-Latn-RS" w:eastAsia="sr-Latn-RS"/>
        </w:rPr>
      </w:pPr>
      <w:r w:rsidRPr="00E6789B">
        <w:rPr>
          <w:rFonts w:eastAsia="Calibri"/>
          <w:szCs w:val="22"/>
          <w:lang w:val="sr-Cyrl-CS"/>
        </w:rPr>
        <w:t>Везано за ЈН бр.404-2-1/2016 Адаптација објекта бр.6 (Медицина рада) у саставу комплекса Дома здравља Ивањица, молим Вас за следећа појашњења:</w:t>
      </w:r>
      <w:r w:rsidR="00703F13" w:rsidRPr="00703F13">
        <w:rPr>
          <w:rFonts w:ascii="Arial" w:eastAsiaTheme="minorHAnsi" w:hAnsi="Arial" w:cs="Arial"/>
          <w:sz w:val="20"/>
          <w:szCs w:val="20"/>
          <w:lang w:val="sr-Latn-RS" w:eastAsia="sr-Latn-RS"/>
        </w:rPr>
        <w:t> </w:t>
      </w:r>
    </w:p>
    <w:p w:rsidR="00D52662" w:rsidRPr="00703F13" w:rsidRDefault="00703F13" w:rsidP="00D52662">
      <w:pPr>
        <w:autoSpaceDE w:val="0"/>
        <w:autoSpaceDN w:val="0"/>
        <w:adjustRightInd w:val="0"/>
        <w:jc w:val="both"/>
        <w:rPr>
          <w:rFonts w:eastAsia="Calibri"/>
          <w:color w:val="FF0000"/>
          <w:szCs w:val="22"/>
          <w:lang w:val="sr-Cyrl-CS"/>
        </w:rPr>
      </w:pPr>
      <w:r w:rsidRPr="00703F13">
        <w:rPr>
          <w:rFonts w:eastAsiaTheme="minorHAnsi"/>
          <w:lang w:val="sr-Latn-RS" w:eastAsia="sr-Latn-RS"/>
        </w:rPr>
        <w:t> </w:t>
      </w:r>
      <w:r w:rsidR="00D52662" w:rsidRPr="00703F13">
        <w:rPr>
          <w:rFonts w:eastAsia="Calibri"/>
          <w:b/>
          <w:color w:val="FF0000"/>
          <w:szCs w:val="22"/>
          <w:lang w:val="sr-Cyrl-CS"/>
        </w:rPr>
        <w:t>Питање</w:t>
      </w:r>
      <w:r w:rsidR="00204AE1">
        <w:rPr>
          <w:rFonts w:eastAsia="Calibri"/>
          <w:b/>
          <w:color w:val="FF0000"/>
          <w:szCs w:val="22"/>
          <w:lang w:val="sr-Cyrl-CS"/>
        </w:rPr>
        <w:t xml:space="preserve"> 1</w:t>
      </w:r>
      <w:r w:rsidR="00D52662" w:rsidRPr="00703F13">
        <w:rPr>
          <w:rFonts w:eastAsia="Calibri"/>
          <w:b/>
          <w:color w:val="FF0000"/>
          <w:szCs w:val="22"/>
          <w:lang w:val="sr-Cyrl-CS"/>
        </w:rPr>
        <w:t>:</w:t>
      </w:r>
      <w:r w:rsidR="00D52662" w:rsidRPr="00703F13">
        <w:rPr>
          <w:rFonts w:eastAsia="Calibri"/>
          <w:color w:val="FF0000"/>
          <w:szCs w:val="22"/>
          <w:lang w:val="sr-Cyrl-CS"/>
        </w:rPr>
        <w:t xml:space="preserve"> </w:t>
      </w:r>
    </w:p>
    <w:p w:rsidR="00703F13" w:rsidRPr="00703F13" w:rsidRDefault="00D52662" w:rsidP="00703F13">
      <w:pPr>
        <w:rPr>
          <w:rFonts w:eastAsiaTheme="minorHAnsi"/>
          <w:lang w:val="sr-Cyrl-CS" w:eastAsia="sr-Latn-RS"/>
        </w:rPr>
      </w:pPr>
      <w:r>
        <w:rPr>
          <w:rFonts w:eastAsiaTheme="minorHAnsi"/>
          <w:lang w:val="sr-Cyrl-CS" w:eastAsia="sr-Latn-RS"/>
        </w:rPr>
        <w:t>1.Да ли износ гаранција за озбиљност понуде може да буде већи од вредности Понуде?</w:t>
      </w:r>
    </w:p>
    <w:p w:rsidR="00D52662" w:rsidRDefault="00D52662" w:rsidP="00703F13">
      <w:pPr>
        <w:rPr>
          <w:rFonts w:ascii="Arial" w:eastAsiaTheme="minorHAnsi" w:hAnsi="Arial" w:cs="Arial"/>
          <w:sz w:val="20"/>
          <w:szCs w:val="20"/>
          <w:lang w:val="sr-Cyrl-CS" w:eastAsia="sr-Latn-RS"/>
        </w:rPr>
      </w:pPr>
    </w:p>
    <w:p w:rsidR="00D52662" w:rsidRDefault="00D52662" w:rsidP="00703F13">
      <w:pPr>
        <w:rPr>
          <w:rFonts w:eastAsia="Calibri"/>
          <w:b/>
          <w:color w:val="FF0000"/>
          <w:szCs w:val="22"/>
          <w:lang w:val="sr-Cyrl-CS"/>
        </w:rPr>
      </w:pPr>
      <w:r w:rsidRPr="00703F13">
        <w:rPr>
          <w:rFonts w:eastAsia="Calibri"/>
          <w:b/>
          <w:color w:val="FF0000"/>
          <w:szCs w:val="22"/>
          <w:lang w:val="sr-Cyrl-CS"/>
        </w:rPr>
        <w:t>Одговор:</w:t>
      </w:r>
    </w:p>
    <w:p w:rsidR="00204AE1" w:rsidRDefault="00204AE1" w:rsidP="00703F13">
      <w:pPr>
        <w:rPr>
          <w:rFonts w:eastAsia="Calibri"/>
          <w:szCs w:val="22"/>
          <w:lang w:val="sr-Cyrl-CS"/>
        </w:rPr>
      </w:pPr>
    </w:p>
    <w:p w:rsidR="00204AE1" w:rsidRDefault="00204AE1" w:rsidP="00BF0C9D">
      <w:pPr>
        <w:jc w:val="both"/>
        <w:rPr>
          <w:rFonts w:eastAsia="Calibri"/>
          <w:szCs w:val="22"/>
          <w:lang w:val="sr-Cyrl-CS"/>
        </w:rPr>
      </w:pPr>
      <w:r w:rsidRPr="00204AE1">
        <w:rPr>
          <w:rFonts w:eastAsia="Calibri"/>
          <w:szCs w:val="22"/>
          <w:lang w:val="sr-Cyrl-CS"/>
        </w:rPr>
        <w:t>За износ гаранција</w:t>
      </w:r>
      <w:r>
        <w:rPr>
          <w:rFonts w:eastAsia="Calibri"/>
          <w:szCs w:val="22"/>
          <w:lang w:val="sr-Cyrl-CS"/>
        </w:rPr>
        <w:t xml:space="preserve"> за озбиљност понуде одређено је да не може бити на мањи износ од 10%</w:t>
      </w:r>
    </w:p>
    <w:p w:rsidR="00204AE1" w:rsidRDefault="00E6789B" w:rsidP="00BF0C9D">
      <w:pPr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Cyrl-CS"/>
        </w:rPr>
        <w:t>о</w:t>
      </w:r>
      <w:r w:rsidR="00204AE1">
        <w:rPr>
          <w:rFonts w:eastAsia="Calibri"/>
          <w:szCs w:val="22"/>
          <w:lang w:val="sr-Cyrl-CS"/>
        </w:rPr>
        <w:t>д укупне вредности понуде.Конкурсном документацијом није ограничено да не може бити већи износ од 10% укупне вредности из чега се закључује да износ може бити већи од вредности понуде уколико је понуђач спреман да достави такву гаранцију.</w:t>
      </w:r>
    </w:p>
    <w:p w:rsidR="00204AE1" w:rsidRDefault="00204AE1" w:rsidP="00703F13">
      <w:pPr>
        <w:rPr>
          <w:rFonts w:eastAsia="Calibri"/>
          <w:b/>
          <w:color w:val="FF0000"/>
          <w:szCs w:val="22"/>
          <w:lang w:val="sr-Cyrl-CS"/>
        </w:rPr>
      </w:pPr>
    </w:p>
    <w:p w:rsidR="00204AE1" w:rsidRPr="00703F13" w:rsidRDefault="00204AE1" w:rsidP="00204AE1">
      <w:pPr>
        <w:autoSpaceDE w:val="0"/>
        <w:autoSpaceDN w:val="0"/>
        <w:adjustRightInd w:val="0"/>
        <w:jc w:val="both"/>
        <w:rPr>
          <w:rFonts w:eastAsia="Calibri"/>
          <w:color w:val="FF0000"/>
          <w:szCs w:val="22"/>
          <w:lang w:val="sr-Cyrl-CS"/>
        </w:rPr>
      </w:pPr>
      <w:r w:rsidRPr="00703F13">
        <w:rPr>
          <w:rFonts w:eastAsia="Calibri"/>
          <w:b/>
          <w:color w:val="FF0000"/>
          <w:szCs w:val="22"/>
          <w:lang w:val="sr-Cyrl-CS"/>
        </w:rPr>
        <w:t>Питање</w:t>
      </w:r>
      <w:r>
        <w:rPr>
          <w:rFonts w:eastAsia="Calibri"/>
          <w:b/>
          <w:color w:val="FF0000"/>
          <w:szCs w:val="22"/>
          <w:lang w:val="sr-Cyrl-CS"/>
        </w:rPr>
        <w:t xml:space="preserve"> 2</w:t>
      </w:r>
      <w:r w:rsidRPr="00703F13">
        <w:rPr>
          <w:rFonts w:eastAsia="Calibri"/>
          <w:b/>
          <w:color w:val="FF0000"/>
          <w:szCs w:val="22"/>
          <w:lang w:val="sr-Cyrl-CS"/>
        </w:rPr>
        <w:t>:</w:t>
      </w:r>
      <w:r w:rsidRPr="00703F13">
        <w:rPr>
          <w:rFonts w:eastAsia="Calibri"/>
          <w:color w:val="FF0000"/>
          <w:szCs w:val="22"/>
          <w:lang w:val="sr-Cyrl-CS"/>
        </w:rPr>
        <w:t xml:space="preserve"> </w:t>
      </w:r>
    </w:p>
    <w:p w:rsidR="00204AE1" w:rsidRDefault="00204AE1" w:rsidP="00703F13">
      <w:pPr>
        <w:rPr>
          <w:rFonts w:eastAsia="Calibri"/>
          <w:b/>
          <w:color w:val="FF0000"/>
          <w:szCs w:val="22"/>
          <w:lang w:val="sr-Cyrl-CS"/>
        </w:rPr>
      </w:pPr>
    </w:p>
    <w:p w:rsidR="00D52662" w:rsidRDefault="00D52662" w:rsidP="00204AE1">
      <w:pPr>
        <w:jc w:val="both"/>
        <w:rPr>
          <w:rFonts w:ascii="Arial" w:eastAsiaTheme="minorHAnsi" w:hAnsi="Arial" w:cs="Arial"/>
          <w:sz w:val="20"/>
          <w:szCs w:val="20"/>
          <w:lang w:val="sr-Cyrl-CS" w:eastAsia="sr-Latn-RS"/>
        </w:rPr>
      </w:pPr>
      <w:r w:rsidRPr="00D52662">
        <w:rPr>
          <w:rFonts w:eastAsia="Calibri"/>
          <w:szCs w:val="22"/>
          <w:lang w:val="sr-Cyrl-CS"/>
        </w:rPr>
        <w:t>Понуђач је дужан да уз понуду достави банкарску гаранцију</w:t>
      </w:r>
      <w:r w:rsidRPr="00D52662">
        <w:rPr>
          <w:rFonts w:eastAsiaTheme="minorHAnsi"/>
          <w:lang w:val="sr-Cyrl-CS" w:eastAsia="sr-Latn-RS"/>
        </w:rPr>
        <w:t xml:space="preserve"> </w:t>
      </w:r>
      <w:r>
        <w:rPr>
          <w:rFonts w:eastAsiaTheme="minorHAnsi"/>
          <w:lang w:val="sr-Cyrl-CS" w:eastAsia="sr-Latn-RS"/>
        </w:rPr>
        <w:t>за озбиљност понуде</w:t>
      </w:r>
      <w:r>
        <w:rPr>
          <w:rFonts w:eastAsiaTheme="minorHAnsi"/>
          <w:lang w:val="sr-Cyrl-CS" w:eastAsia="sr-Latn-RS"/>
        </w:rPr>
        <w:t xml:space="preserve"> са назначеним износом од 10% од укупне вредности понуде.</w:t>
      </w:r>
      <w:r w:rsidR="00204AE1">
        <w:rPr>
          <w:rFonts w:eastAsiaTheme="minorHAnsi"/>
          <w:lang w:val="sr-Cyrl-CS" w:eastAsia="sr-Latn-RS"/>
        </w:rPr>
        <w:t>Да ли на укупан износ са ПДВ-ом или на укупан износ без ПДВ-а?</w:t>
      </w:r>
    </w:p>
    <w:p w:rsidR="00D52662" w:rsidRDefault="00D52662" w:rsidP="00703F13">
      <w:pPr>
        <w:rPr>
          <w:rFonts w:ascii="Arial" w:eastAsiaTheme="minorHAnsi" w:hAnsi="Arial" w:cs="Arial"/>
          <w:sz w:val="20"/>
          <w:szCs w:val="20"/>
          <w:lang w:val="sr-Cyrl-CS" w:eastAsia="sr-Latn-RS"/>
        </w:rPr>
      </w:pPr>
    </w:p>
    <w:p w:rsidR="00204AE1" w:rsidRDefault="00204AE1" w:rsidP="00204AE1">
      <w:pPr>
        <w:rPr>
          <w:rFonts w:eastAsia="Calibri"/>
          <w:b/>
          <w:color w:val="FF0000"/>
          <w:szCs w:val="22"/>
          <w:lang w:val="sr-Cyrl-CS"/>
        </w:rPr>
      </w:pPr>
      <w:r w:rsidRPr="00703F13">
        <w:rPr>
          <w:rFonts w:eastAsia="Calibri"/>
          <w:b/>
          <w:color w:val="FF0000"/>
          <w:szCs w:val="22"/>
          <w:lang w:val="sr-Cyrl-CS"/>
        </w:rPr>
        <w:t>Одговор:</w:t>
      </w:r>
    </w:p>
    <w:p w:rsidR="00204AE1" w:rsidRDefault="00204AE1" w:rsidP="00703F13">
      <w:pPr>
        <w:rPr>
          <w:rFonts w:ascii="Arial" w:eastAsiaTheme="minorHAnsi" w:hAnsi="Arial" w:cs="Arial"/>
          <w:sz w:val="20"/>
          <w:szCs w:val="20"/>
          <w:lang w:val="sr-Cyrl-CS" w:eastAsia="sr-Latn-RS"/>
        </w:rPr>
      </w:pPr>
    </w:p>
    <w:p w:rsidR="00204AE1" w:rsidRPr="00E6789B" w:rsidRDefault="00204AE1" w:rsidP="00703F13">
      <w:pPr>
        <w:rPr>
          <w:rFonts w:eastAsiaTheme="minorHAnsi"/>
          <w:lang w:val="sr-Cyrl-CS" w:eastAsia="sr-Latn-RS"/>
        </w:rPr>
      </w:pPr>
      <w:r w:rsidRPr="00E6789B">
        <w:rPr>
          <w:rFonts w:eastAsiaTheme="minorHAnsi"/>
          <w:lang w:val="sr-Cyrl-CS" w:eastAsia="sr-Latn-RS"/>
        </w:rPr>
        <w:t xml:space="preserve">Понуда банкарске гаранције са укупним износом се односи на </w:t>
      </w:r>
      <w:r w:rsidR="00E6789B" w:rsidRPr="00E6789B">
        <w:rPr>
          <w:rFonts w:eastAsiaTheme="minorHAnsi"/>
          <w:lang w:val="sr-Cyrl-CS" w:eastAsia="sr-Latn-RS"/>
        </w:rPr>
        <w:t xml:space="preserve">вредност понуде без </w:t>
      </w:r>
      <w:r w:rsidR="00E6789B" w:rsidRPr="00E6789B">
        <w:rPr>
          <w:rFonts w:eastAsiaTheme="minorHAnsi"/>
          <w:lang w:val="sr-Cyrl-CS" w:eastAsia="sr-Latn-RS"/>
        </w:rPr>
        <w:t>ПДВ-а</w:t>
      </w:r>
      <w:r w:rsidR="00E6789B">
        <w:rPr>
          <w:rFonts w:eastAsiaTheme="minorHAnsi"/>
          <w:lang w:val="sr-Cyrl-CS" w:eastAsia="sr-Latn-RS"/>
        </w:rPr>
        <w:t>.</w:t>
      </w:r>
    </w:p>
    <w:p w:rsidR="00A95B04" w:rsidRPr="00E6789B" w:rsidRDefault="00703F13" w:rsidP="00BF0C9D">
      <w:pPr>
        <w:jc w:val="both"/>
        <w:rPr>
          <w:color w:val="FF0000"/>
          <w:lang w:val="sr-Cyrl-CS"/>
        </w:rPr>
      </w:pPr>
      <w:r w:rsidRPr="00703F13">
        <w:rPr>
          <w:rFonts w:eastAsiaTheme="minorHAnsi"/>
          <w:lang w:val="sr-Latn-RS" w:eastAsia="sr-Latn-RS"/>
        </w:rPr>
        <w:t> </w:t>
      </w:r>
    </w:p>
    <w:p w:rsidR="006440A8" w:rsidRPr="00703F13" w:rsidRDefault="006440A8" w:rsidP="00AC5FF6">
      <w:pPr>
        <w:rPr>
          <w:rFonts w:eastAsia="Calibri"/>
          <w:b/>
          <w:color w:val="FF0000"/>
          <w:szCs w:val="22"/>
          <w:lang w:val="sr-Cyrl-CS"/>
        </w:rPr>
      </w:pPr>
    </w:p>
    <w:p w:rsidR="006440A8" w:rsidRPr="00703F13" w:rsidRDefault="006440A8" w:rsidP="00AC5FF6">
      <w:pPr>
        <w:rPr>
          <w:rFonts w:eastAsia="Calibri"/>
          <w:b/>
          <w:color w:val="FF0000"/>
          <w:szCs w:val="22"/>
          <w:lang w:val="sr-Cyrl-CS"/>
        </w:rPr>
      </w:pPr>
    </w:p>
    <w:p w:rsidR="006440A8" w:rsidRDefault="006440A8" w:rsidP="00AC5FF6">
      <w:pPr>
        <w:rPr>
          <w:rFonts w:eastAsia="Calibri"/>
          <w:b/>
          <w:szCs w:val="22"/>
          <w:lang w:val="sr-Cyrl-CS"/>
        </w:rPr>
      </w:pPr>
      <w:bookmarkStart w:id="0" w:name="_GoBack"/>
      <w:bookmarkEnd w:id="0"/>
    </w:p>
    <w:p w:rsidR="006440A8" w:rsidRDefault="006440A8" w:rsidP="00AC5FF6">
      <w:pPr>
        <w:rPr>
          <w:rFonts w:eastAsia="Calibri"/>
          <w:b/>
          <w:szCs w:val="22"/>
          <w:lang w:val="sr-Cyrl-CS"/>
        </w:rPr>
      </w:pPr>
    </w:p>
    <w:p w:rsidR="006440A8" w:rsidRDefault="006440A8" w:rsidP="00AC5FF6">
      <w:pPr>
        <w:rPr>
          <w:rFonts w:eastAsia="Calibri"/>
          <w:b/>
          <w:szCs w:val="22"/>
          <w:lang w:val="sr-Cyrl-CS"/>
        </w:rPr>
      </w:pPr>
    </w:p>
    <w:p w:rsidR="00BF1948" w:rsidRPr="00A010F2" w:rsidRDefault="00AC5FF6" w:rsidP="00A010F2">
      <w:pPr>
        <w:tabs>
          <w:tab w:val="left" w:pos="6030"/>
        </w:tabs>
        <w:jc w:val="right"/>
        <w:rPr>
          <w:b/>
          <w:lang w:val="sr-Cyrl-CS"/>
        </w:rPr>
      </w:pPr>
      <w:r w:rsidRPr="00A010F2">
        <w:rPr>
          <w:b/>
          <w:lang w:val="sr-Cyrl-CS"/>
        </w:rPr>
        <w:t>Комисија</w:t>
      </w:r>
    </w:p>
    <w:sectPr w:rsidR="00BF1948" w:rsidRPr="00A010F2" w:rsidSect="003C57E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A6436F"/>
    <w:multiLevelType w:val="hybridMultilevel"/>
    <w:tmpl w:val="679C30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30A0"/>
    <w:multiLevelType w:val="hybridMultilevel"/>
    <w:tmpl w:val="D72896C8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ABE1836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  <w:color w:val="auto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C15"/>
    <w:multiLevelType w:val="hybridMultilevel"/>
    <w:tmpl w:val="9D3802D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75B3AAC"/>
    <w:multiLevelType w:val="hybridMultilevel"/>
    <w:tmpl w:val="D60AF41E"/>
    <w:lvl w:ilvl="0" w:tplc="F2B6D7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1027"/>
    <w:multiLevelType w:val="hybridMultilevel"/>
    <w:tmpl w:val="24D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67E"/>
    <w:multiLevelType w:val="hybridMultilevel"/>
    <w:tmpl w:val="874033F8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36839E2"/>
    <w:multiLevelType w:val="hybridMultilevel"/>
    <w:tmpl w:val="98E41184"/>
    <w:lvl w:ilvl="0" w:tplc="7E5CF7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2463"/>
    <w:multiLevelType w:val="hybridMultilevel"/>
    <w:tmpl w:val="20E2C0D4"/>
    <w:lvl w:ilvl="0" w:tplc="7E5C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C6"/>
    <w:rsid w:val="0005173F"/>
    <w:rsid w:val="0017112A"/>
    <w:rsid w:val="00182211"/>
    <w:rsid w:val="00182BF8"/>
    <w:rsid w:val="001E0CF3"/>
    <w:rsid w:val="00204AE1"/>
    <w:rsid w:val="00235FC6"/>
    <w:rsid w:val="002F5837"/>
    <w:rsid w:val="003036B8"/>
    <w:rsid w:val="00342771"/>
    <w:rsid w:val="00356BE9"/>
    <w:rsid w:val="00375A9A"/>
    <w:rsid w:val="003860F6"/>
    <w:rsid w:val="003C57E0"/>
    <w:rsid w:val="003C7AB2"/>
    <w:rsid w:val="00421659"/>
    <w:rsid w:val="00430278"/>
    <w:rsid w:val="00433BEE"/>
    <w:rsid w:val="0048383D"/>
    <w:rsid w:val="004A29AC"/>
    <w:rsid w:val="004E5DAF"/>
    <w:rsid w:val="0061720A"/>
    <w:rsid w:val="00641883"/>
    <w:rsid w:val="006440A8"/>
    <w:rsid w:val="0064734B"/>
    <w:rsid w:val="00681FF8"/>
    <w:rsid w:val="006D62DF"/>
    <w:rsid w:val="00703F13"/>
    <w:rsid w:val="00785CEF"/>
    <w:rsid w:val="007B158E"/>
    <w:rsid w:val="00803079"/>
    <w:rsid w:val="008122BD"/>
    <w:rsid w:val="00823886"/>
    <w:rsid w:val="008455D2"/>
    <w:rsid w:val="00853884"/>
    <w:rsid w:val="008871A7"/>
    <w:rsid w:val="0089477C"/>
    <w:rsid w:val="008E2422"/>
    <w:rsid w:val="0090209E"/>
    <w:rsid w:val="0095287C"/>
    <w:rsid w:val="00985E1B"/>
    <w:rsid w:val="009B0119"/>
    <w:rsid w:val="009B2D6B"/>
    <w:rsid w:val="009B7F53"/>
    <w:rsid w:val="009C3135"/>
    <w:rsid w:val="009D2EAB"/>
    <w:rsid w:val="00A010F2"/>
    <w:rsid w:val="00A23443"/>
    <w:rsid w:val="00A66D68"/>
    <w:rsid w:val="00A950BB"/>
    <w:rsid w:val="00A95B04"/>
    <w:rsid w:val="00AB64F9"/>
    <w:rsid w:val="00AC453D"/>
    <w:rsid w:val="00AC5FF6"/>
    <w:rsid w:val="00AD2A3A"/>
    <w:rsid w:val="00B260F8"/>
    <w:rsid w:val="00B70778"/>
    <w:rsid w:val="00BF0C9D"/>
    <w:rsid w:val="00BF1948"/>
    <w:rsid w:val="00C54CAB"/>
    <w:rsid w:val="00D11DD5"/>
    <w:rsid w:val="00D14A2A"/>
    <w:rsid w:val="00D40247"/>
    <w:rsid w:val="00D47485"/>
    <w:rsid w:val="00D52662"/>
    <w:rsid w:val="00D813DE"/>
    <w:rsid w:val="00E652BA"/>
    <w:rsid w:val="00E6789B"/>
    <w:rsid w:val="00E8054E"/>
    <w:rsid w:val="00F536D5"/>
    <w:rsid w:val="00FA08D3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FEBE-3A16-4C2E-9911-EC5A76F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2</cp:revision>
  <cp:lastPrinted>2014-02-14T12:37:00Z</cp:lastPrinted>
  <dcterms:created xsi:type="dcterms:W3CDTF">2016-11-18T14:48:00Z</dcterms:created>
  <dcterms:modified xsi:type="dcterms:W3CDTF">2016-11-18T14:48:00Z</dcterms:modified>
</cp:coreProperties>
</file>